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7AAC8" w14:textId="77777777" w:rsidR="007C125E" w:rsidRDefault="007C125E" w:rsidP="007C125E">
      <w:pPr>
        <w:jc w:val="center"/>
        <w:rPr>
          <w:b/>
          <w:bCs/>
          <w:sz w:val="96"/>
          <w:szCs w:val="96"/>
        </w:rPr>
      </w:pPr>
    </w:p>
    <w:p w14:paraId="5181A3C7" w14:textId="77777777" w:rsidR="007C125E" w:rsidRPr="007C125E" w:rsidRDefault="006C4E89" w:rsidP="007C125E">
      <w:pPr>
        <w:jc w:val="center"/>
        <w:rPr>
          <w:rFonts w:asciiTheme="majorHAnsi" w:hAnsiTheme="majorHAnsi" w:cstheme="majorHAnsi"/>
          <w:b/>
          <w:bCs/>
          <w:sz w:val="100"/>
          <w:szCs w:val="100"/>
        </w:rPr>
      </w:pPr>
      <w:r w:rsidRPr="007C125E">
        <w:rPr>
          <w:rFonts w:asciiTheme="majorHAnsi" w:hAnsiTheme="majorHAnsi" w:cstheme="majorHAnsi"/>
          <w:b/>
          <w:bCs/>
          <w:sz w:val="100"/>
          <w:szCs w:val="100"/>
        </w:rPr>
        <w:t>XXII.</w:t>
      </w:r>
    </w:p>
    <w:p w14:paraId="2CB39CC3" w14:textId="6A22BB8B" w:rsidR="006C4E89" w:rsidRPr="007C125E" w:rsidRDefault="006C4E89" w:rsidP="007C125E">
      <w:pPr>
        <w:jc w:val="center"/>
        <w:rPr>
          <w:rFonts w:asciiTheme="majorHAnsi" w:hAnsiTheme="majorHAnsi" w:cstheme="majorHAnsi"/>
          <w:b/>
          <w:bCs/>
          <w:sz w:val="100"/>
          <w:szCs w:val="100"/>
        </w:rPr>
      </w:pPr>
      <w:r w:rsidRPr="007C125E">
        <w:rPr>
          <w:rFonts w:asciiTheme="majorHAnsi" w:hAnsiTheme="majorHAnsi" w:cstheme="majorHAnsi"/>
          <w:b/>
          <w:bCs/>
          <w:sz w:val="100"/>
          <w:szCs w:val="100"/>
        </w:rPr>
        <w:t>MAGYAR INGATLANEJLESZTÉSI NÍVÓDÍJ PÁLYÁZAT</w:t>
      </w:r>
    </w:p>
    <w:p w14:paraId="136248DC" w14:textId="4F8BF07F" w:rsidR="007C125E" w:rsidRPr="007C125E" w:rsidRDefault="007C125E" w:rsidP="007C125E">
      <w:pPr>
        <w:jc w:val="center"/>
        <w:rPr>
          <w:b/>
          <w:bCs/>
          <w:sz w:val="72"/>
          <w:szCs w:val="72"/>
        </w:rPr>
      </w:pPr>
    </w:p>
    <w:p w14:paraId="229325FF" w14:textId="3F5FB8F8" w:rsidR="007C125E" w:rsidRDefault="00AD168C" w:rsidP="007C125E">
      <w:pPr>
        <w:jc w:val="center"/>
        <w:rPr>
          <w:b/>
          <w:bCs/>
          <w:sz w:val="72"/>
          <w:szCs w:val="72"/>
        </w:rPr>
      </w:pPr>
      <w:r>
        <w:rPr>
          <w:noProof/>
        </w:rPr>
        <w:drawing>
          <wp:inline distT="0" distB="0" distL="0" distR="0" wp14:anchorId="5647CB5F" wp14:editId="1B51EE14">
            <wp:extent cx="4212000" cy="18000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9583" w14:textId="77777777" w:rsidR="007C125E" w:rsidRPr="007C125E" w:rsidRDefault="007C125E" w:rsidP="007C125E">
      <w:pPr>
        <w:jc w:val="center"/>
        <w:rPr>
          <w:b/>
          <w:bCs/>
          <w:sz w:val="72"/>
          <w:szCs w:val="72"/>
        </w:rPr>
      </w:pPr>
    </w:p>
    <w:p w14:paraId="2426E0B9" w14:textId="08FAA979" w:rsidR="006C4E89" w:rsidRPr="007C125E" w:rsidRDefault="006C4E89" w:rsidP="007C125E">
      <w:pPr>
        <w:jc w:val="center"/>
        <w:rPr>
          <w:rFonts w:asciiTheme="majorHAnsi" w:hAnsiTheme="majorHAnsi" w:cstheme="majorHAnsi"/>
          <w:b/>
          <w:bCs/>
        </w:rPr>
      </w:pPr>
      <w:r w:rsidRPr="007C125E">
        <w:rPr>
          <w:rFonts w:asciiTheme="majorHAnsi" w:hAnsiTheme="majorHAnsi" w:cstheme="majorHAnsi"/>
          <w:b/>
          <w:bCs/>
          <w:sz w:val="48"/>
          <w:szCs w:val="48"/>
        </w:rPr>
        <w:t>2020</w:t>
      </w:r>
      <w:r w:rsidRPr="007C125E">
        <w:rPr>
          <w:rFonts w:asciiTheme="majorHAnsi" w:hAnsiTheme="majorHAnsi" w:cstheme="majorHAnsi"/>
        </w:rPr>
        <w:br w:type="page"/>
      </w:r>
    </w:p>
    <w:p w14:paraId="35F8706D" w14:textId="042ADD29" w:rsidR="006C4E89" w:rsidRPr="007C125E" w:rsidRDefault="006C4E89" w:rsidP="007C125E">
      <w:pPr>
        <w:pStyle w:val="Cm"/>
      </w:pPr>
      <w:r w:rsidRPr="007C125E">
        <w:lastRenderedPageBreak/>
        <w:t>A létesítmény elnevezése és pontos címe</w:t>
      </w:r>
    </w:p>
    <w:p w14:paraId="7B732796" w14:textId="06E87A6F" w:rsidR="006C4E89" w:rsidRPr="00C37DD5" w:rsidRDefault="006C4E89">
      <w:pPr>
        <w:rPr>
          <w:rFonts w:ascii="Arial" w:hAnsi="Arial" w:cs="Arial"/>
          <w:b/>
          <w:bCs/>
          <w:spacing w:val="40"/>
          <w:sz w:val="24"/>
          <w:szCs w:val="24"/>
        </w:rPr>
      </w:pPr>
      <w:r w:rsidRPr="00C37DD5">
        <w:rPr>
          <w:rFonts w:ascii="Arial" w:hAnsi="Arial" w:cs="Arial"/>
          <w:b/>
          <w:bCs/>
          <w:spacing w:val="40"/>
          <w:sz w:val="24"/>
          <w:szCs w:val="24"/>
        </w:rPr>
        <w:t>Lokomotív Ház</w:t>
      </w:r>
    </w:p>
    <w:p w14:paraId="1FADA7A7" w14:textId="07E22B73" w:rsidR="006C4E89" w:rsidRPr="00C37DD5" w:rsidRDefault="006C4E89">
      <w:pPr>
        <w:rPr>
          <w:rFonts w:ascii="Arial" w:hAnsi="Arial" w:cs="Arial"/>
          <w:b/>
          <w:bCs/>
          <w:spacing w:val="40"/>
          <w:sz w:val="24"/>
          <w:szCs w:val="24"/>
        </w:rPr>
      </w:pPr>
      <w:r w:rsidRPr="00C37DD5">
        <w:rPr>
          <w:rFonts w:ascii="Arial" w:hAnsi="Arial" w:cs="Arial"/>
          <w:b/>
          <w:bCs/>
          <w:spacing w:val="40"/>
          <w:sz w:val="24"/>
          <w:szCs w:val="24"/>
        </w:rPr>
        <w:t>1117 Budapest, Budafoki út 187-189.</w:t>
      </w:r>
    </w:p>
    <w:p w14:paraId="0AA98A83" w14:textId="25336BC1" w:rsidR="006C4E89" w:rsidRPr="007C125E" w:rsidRDefault="006C4E89">
      <w:pPr>
        <w:rPr>
          <w:sz w:val="24"/>
          <w:szCs w:val="24"/>
        </w:rPr>
      </w:pPr>
    </w:p>
    <w:p w14:paraId="40B98C60" w14:textId="78E97FCE" w:rsidR="006C4E89" w:rsidRDefault="006C4E89" w:rsidP="007C125E">
      <w:pPr>
        <w:pStyle w:val="Cm"/>
      </w:pPr>
      <w:r>
        <w:t>A nevező adatai</w:t>
      </w:r>
    </w:p>
    <w:p w14:paraId="30D8F00F" w14:textId="36EDF2A7" w:rsidR="006C4E89" w:rsidRPr="007C125E" w:rsidRDefault="006C4E89">
      <w:pPr>
        <w:rPr>
          <w:sz w:val="24"/>
          <w:szCs w:val="24"/>
        </w:rPr>
      </w:pPr>
      <w:r w:rsidRPr="007C125E">
        <w:rPr>
          <w:sz w:val="24"/>
          <w:szCs w:val="24"/>
        </w:rPr>
        <w:t>Buildton Kft.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4E89" w:rsidRPr="007C125E" w14:paraId="43B602DC" w14:textId="77777777" w:rsidTr="006C4E89">
        <w:tc>
          <w:tcPr>
            <w:tcW w:w="4531" w:type="dxa"/>
          </w:tcPr>
          <w:p w14:paraId="4E96F60A" w14:textId="31C69F6F" w:rsidR="008F6954" w:rsidRPr="007C125E" w:rsidRDefault="006C4E89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Kőszeghy Erzsébet</w:t>
            </w:r>
          </w:p>
        </w:tc>
        <w:tc>
          <w:tcPr>
            <w:tcW w:w="4531" w:type="dxa"/>
          </w:tcPr>
          <w:p w14:paraId="1069BE4B" w14:textId="05FB9F3B" w:rsidR="006C4E89" w:rsidRPr="007C125E" w:rsidRDefault="006C4E89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Vágó István</w:t>
            </w:r>
          </w:p>
        </w:tc>
      </w:tr>
      <w:tr w:rsidR="006C4E89" w:rsidRPr="007C125E" w14:paraId="6E41560F" w14:textId="77777777" w:rsidTr="006C4E89">
        <w:tc>
          <w:tcPr>
            <w:tcW w:w="4531" w:type="dxa"/>
          </w:tcPr>
          <w:p w14:paraId="389893EE" w14:textId="71B75E7D" w:rsidR="006C4E89" w:rsidRPr="007C125E" w:rsidRDefault="006C4E89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 xml:space="preserve">+36 30 / </w:t>
            </w:r>
            <w:r w:rsidR="008F6954" w:rsidRPr="007C125E">
              <w:rPr>
                <w:sz w:val="24"/>
                <w:szCs w:val="24"/>
              </w:rPr>
              <w:t>578 -5298</w:t>
            </w:r>
          </w:p>
        </w:tc>
        <w:tc>
          <w:tcPr>
            <w:tcW w:w="4531" w:type="dxa"/>
          </w:tcPr>
          <w:p w14:paraId="506FDB6A" w14:textId="55076E22" w:rsidR="006C4E89" w:rsidRPr="007C125E" w:rsidRDefault="008F6954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+36 20 / 412 – 1393</w:t>
            </w:r>
          </w:p>
        </w:tc>
      </w:tr>
      <w:tr w:rsidR="006C4E89" w:rsidRPr="007C125E" w14:paraId="1E4FE935" w14:textId="77777777" w:rsidTr="006C4E89">
        <w:tc>
          <w:tcPr>
            <w:tcW w:w="4531" w:type="dxa"/>
          </w:tcPr>
          <w:p w14:paraId="5B8F7482" w14:textId="29B489C6" w:rsidR="008F6954" w:rsidRPr="007C125E" w:rsidRDefault="007224FB">
            <w:pPr>
              <w:rPr>
                <w:sz w:val="24"/>
                <w:szCs w:val="24"/>
              </w:rPr>
            </w:pPr>
            <w:hyperlink r:id="rId8" w:history="1">
              <w:r w:rsidR="008F6954" w:rsidRPr="007C125E">
                <w:rPr>
                  <w:rStyle w:val="Hiperhivatkozs"/>
                  <w:sz w:val="24"/>
                  <w:szCs w:val="24"/>
                </w:rPr>
                <w:t>koszeghy.erzsebet@lokomotivhaz.hu</w:t>
              </w:r>
            </w:hyperlink>
          </w:p>
        </w:tc>
        <w:tc>
          <w:tcPr>
            <w:tcW w:w="4531" w:type="dxa"/>
          </w:tcPr>
          <w:p w14:paraId="29759132" w14:textId="2283B64B" w:rsidR="008F6954" w:rsidRPr="007C125E" w:rsidRDefault="007224FB">
            <w:pPr>
              <w:rPr>
                <w:sz w:val="24"/>
                <w:szCs w:val="24"/>
              </w:rPr>
            </w:pPr>
            <w:hyperlink r:id="rId9" w:history="1">
              <w:r w:rsidR="008F6954" w:rsidRPr="007C125E">
                <w:rPr>
                  <w:rStyle w:val="Hiperhivatkozs"/>
                  <w:sz w:val="24"/>
                  <w:szCs w:val="24"/>
                </w:rPr>
                <w:t>vago.istvan@lokomotivhaz.hu</w:t>
              </w:r>
            </w:hyperlink>
          </w:p>
        </w:tc>
      </w:tr>
    </w:tbl>
    <w:p w14:paraId="6182C051" w14:textId="31F52534" w:rsidR="006C4E89" w:rsidRPr="007C125E" w:rsidRDefault="006C4E89">
      <w:pPr>
        <w:rPr>
          <w:sz w:val="24"/>
          <w:szCs w:val="24"/>
        </w:rPr>
      </w:pPr>
    </w:p>
    <w:p w14:paraId="24A0FA15" w14:textId="72D8DC21" w:rsidR="008F6954" w:rsidRDefault="008F6954" w:rsidP="007C125E">
      <w:pPr>
        <w:pStyle w:val="Cm"/>
      </w:pPr>
      <w:r>
        <w:t>Beruházók adatai</w:t>
      </w:r>
    </w:p>
    <w:p w14:paraId="0481D19B" w14:textId="567335D0" w:rsidR="008F6954" w:rsidRPr="007C125E" w:rsidRDefault="008F6954">
      <w:pPr>
        <w:rPr>
          <w:sz w:val="24"/>
          <w:szCs w:val="24"/>
        </w:rPr>
      </w:pPr>
      <w:r w:rsidRPr="007C125E">
        <w:rPr>
          <w:sz w:val="24"/>
          <w:szCs w:val="24"/>
        </w:rPr>
        <w:t>Buildton Kft.</w:t>
      </w:r>
      <w:r w:rsidR="006E3636">
        <w:rPr>
          <w:sz w:val="24"/>
          <w:szCs w:val="24"/>
        </w:rPr>
        <w:t xml:space="preserve"> (1117 Budapest, Budafoki út 187-189.)</w:t>
      </w:r>
    </w:p>
    <w:p w14:paraId="022F5DCB" w14:textId="56C8137E" w:rsidR="008F6954" w:rsidRPr="007C125E" w:rsidRDefault="008F6954">
      <w:pPr>
        <w:rPr>
          <w:sz w:val="24"/>
          <w:szCs w:val="24"/>
        </w:rPr>
      </w:pPr>
      <w:r w:rsidRPr="007C125E">
        <w:rPr>
          <w:sz w:val="24"/>
          <w:szCs w:val="24"/>
        </w:rPr>
        <w:t>Bálintné Süveges Ildikó</w:t>
      </w:r>
    </w:p>
    <w:p w14:paraId="54A0BBCA" w14:textId="35510741" w:rsidR="008F6954" w:rsidRPr="007C125E" w:rsidRDefault="008F6954">
      <w:pPr>
        <w:rPr>
          <w:sz w:val="24"/>
          <w:szCs w:val="24"/>
        </w:rPr>
      </w:pPr>
    </w:p>
    <w:p w14:paraId="00901E69" w14:textId="0D3DDE66" w:rsidR="008F6954" w:rsidRDefault="008F6954" w:rsidP="007C125E">
      <w:pPr>
        <w:pStyle w:val="Cm"/>
      </w:pPr>
      <w:r>
        <w:t>Tervező adatai</w:t>
      </w:r>
    </w:p>
    <w:p w14:paraId="1989A202" w14:textId="25F5FF19" w:rsidR="008F6954" w:rsidRPr="007C125E" w:rsidRDefault="008F6954">
      <w:pPr>
        <w:rPr>
          <w:sz w:val="24"/>
          <w:szCs w:val="24"/>
        </w:rPr>
      </w:pPr>
      <w:r w:rsidRPr="007C125E">
        <w:rPr>
          <w:sz w:val="24"/>
          <w:szCs w:val="24"/>
        </w:rPr>
        <w:t>MCXVI Építészműterem Kft.</w:t>
      </w:r>
      <w:r w:rsidR="005D13C3">
        <w:rPr>
          <w:sz w:val="24"/>
          <w:szCs w:val="24"/>
        </w:rPr>
        <w:t xml:space="preserve"> (</w:t>
      </w:r>
      <w:r w:rsidR="005D13C3" w:rsidRPr="007C125E">
        <w:rPr>
          <w:sz w:val="24"/>
          <w:szCs w:val="24"/>
        </w:rPr>
        <w:t>1117 Budapest, Fehérvári út 35.</w:t>
      </w:r>
      <w:r w:rsidR="005D13C3">
        <w:rPr>
          <w:sz w:val="24"/>
          <w:szCs w:val="24"/>
        </w:rPr>
        <w:t>)</w:t>
      </w:r>
    </w:p>
    <w:p w14:paraId="7B0783B8" w14:textId="77777777" w:rsidR="005D13C3" w:rsidRPr="007C125E" w:rsidRDefault="005D13C3">
      <w:pPr>
        <w:rPr>
          <w:sz w:val="24"/>
          <w:szCs w:val="24"/>
        </w:rPr>
      </w:pPr>
    </w:p>
    <w:p w14:paraId="3F37DC09" w14:textId="74478847" w:rsidR="008F6954" w:rsidRDefault="008F6954" w:rsidP="007C125E">
      <w:pPr>
        <w:pStyle w:val="Cm"/>
      </w:pPr>
      <w:r>
        <w:t>Kivitelező adatai</w:t>
      </w:r>
    </w:p>
    <w:p w14:paraId="7743EE9F" w14:textId="73791955" w:rsidR="008F6954" w:rsidRPr="007C125E" w:rsidRDefault="007C125E">
      <w:pPr>
        <w:rPr>
          <w:sz w:val="24"/>
          <w:szCs w:val="24"/>
        </w:rPr>
      </w:pPr>
      <w:r w:rsidRPr="007C125E">
        <w:rPr>
          <w:sz w:val="24"/>
          <w:szCs w:val="24"/>
        </w:rPr>
        <w:t>Dömper Kft.</w:t>
      </w:r>
      <w:r w:rsidR="005D13C3">
        <w:rPr>
          <w:sz w:val="24"/>
          <w:szCs w:val="24"/>
        </w:rPr>
        <w:t xml:space="preserve"> (</w:t>
      </w:r>
      <w:r w:rsidR="005D13C3" w:rsidRPr="007C125E">
        <w:rPr>
          <w:sz w:val="24"/>
          <w:szCs w:val="24"/>
        </w:rPr>
        <w:t>2541 Lábatlan, Dunapart hrsz. 1605/2.</w:t>
      </w:r>
      <w:r w:rsidR="005D13C3">
        <w:rPr>
          <w:sz w:val="24"/>
          <w:szCs w:val="24"/>
        </w:rPr>
        <w:t>)</w:t>
      </w:r>
    </w:p>
    <w:p w14:paraId="231BC248" w14:textId="5A5958B7" w:rsidR="007C125E" w:rsidRPr="007C125E" w:rsidRDefault="007C125E">
      <w:pPr>
        <w:rPr>
          <w:sz w:val="24"/>
          <w:szCs w:val="24"/>
        </w:rPr>
      </w:pPr>
      <w:r w:rsidRPr="007C125E">
        <w:rPr>
          <w:sz w:val="24"/>
          <w:szCs w:val="24"/>
        </w:rPr>
        <w:t>Gyurján Gábor</w:t>
      </w:r>
    </w:p>
    <w:p w14:paraId="05027603" w14:textId="4A760085" w:rsidR="007C125E" w:rsidRPr="007C125E" w:rsidRDefault="007C125E">
      <w:pPr>
        <w:rPr>
          <w:sz w:val="24"/>
          <w:szCs w:val="24"/>
        </w:rPr>
      </w:pPr>
    </w:p>
    <w:p w14:paraId="6F1FDD04" w14:textId="3277FFF5" w:rsidR="007C125E" w:rsidRDefault="007C125E" w:rsidP="007C125E">
      <w:pPr>
        <w:pStyle w:val="Cm"/>
      </w:pPr>
      <w:r>
        <w:t>Üzemeltetők adatai</w:t>
      </w:r>
    </w:p>
    <w:p w14:paraId="40A31E30" w14:textId="42AFA389" w:rsidR="007C125E" w:rsidRPr="007C125E" w:rsidRDefault="007C125E">
      <w:pPr>
        <w:rPr>
          <w:sz w:val="24"/>
          <w:szCs w:val="24"/>
        </w:rPr>
      </w:pPr>
      <w:r w:rsidRPr="007C125E">
        <w:rPr>
          <w:sz w:val="24"/>
          <w:szCs w:val="24"/>
        </w:rPr>
        <w:t>Operator-</w:t>
      </w:r>
      <w:proofErr w:type="spellStart"/>
      <w:r w:rsidRPr="007C125E">
        <w:rPr>
          <w:sz w:val="24"/>
          <w:szCs w:val="24"/>
        </w:rPr>
        <w:t>Estate</w:t>
      </w:r>
      <w:proofErr w:type="spellEnd"/>
      <w:r w:rsidRPr="007C125E">
        <w:rPr>
          <w:sz w:val="24"/>
          <w:szCs w:val="24"/>
        </w:rPr>
        <w:t xml:space="preserve"> Kft.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C125E" w:rsidRPr="007C125E" w14:paraId="4C3EABB9" w14:textId="77777777" w:rsidTr="006C02E1">
        <w:tc>
          <w:tcPr>
            <w:tcW w:w="4531" w:type="dxa"/>
          </w:tcPr>
          <w:p w14:paraId="3376A205" w14:textId="77777777" w:rsidR="007C125E" w:rsidRPr="007C125E" w:rsidRDefault="007C125E" w:rsidP="006C02E1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Kőszeghy Erzsébet</w:t>
            </w:r>
          </w:p>
        </w:tc>
        <w:tc>
          <w:tcPr>
            <w:tcW w:w="4531" w:type="dxa"/>
          </w:tcPr>
          <w:p w14:paraId="69325DA0" w14:textId="77777777" w:rsidR="007C125E" w:rsidRPr="007C125E" w:rsidRDefault="007C125E" w:rsidP="006C02E1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Vágó István</w:t>
            </w:r>
          </w:p>
        </w:tc>
      </w:tr>
      <w:tr w:rsidR="007C125E" w:rsidRPr="007C125E" w14:paraId="3B55FC5F" w14:textId="77777777" w:rsidTr="006C02E1">
        <w:tc>
          <w:tcPr>
            <w:tcW w:w="4531" w:type="dxa"/>
          </w:tcPr>
          <w:p w14:paraId="1B4EC7ED" w14:textId="77777777" w:rsidR="007C125E" w:rsidRPr="007C125E" w:rsidRDefault="007C125E" w:rsidP="006C02E1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+36 30 / 578 -5298</w:t>
            </w:r>
          </w:p>
        </w:tc>
        <w:tc>
          <w:tcPr>
            <w:tcW w:w="4531" w:type="dxa"/>
          </w:tcPr>
          <w:p w14:paraId="3858A245" w14:textId="77777777" w:rsidR="007C125E" w:rsidRPr="007C125E" w:rsidRDefault="007C125E" w:rsidP="006C02E1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+36 20 / 412 – 1393</w:t>
            </w:r>
          </w:p>
        </w:tc>
      </w:tr>
      <w:tr w:rsidR="007C125E" w:rsidRPr="007C125E" w14:paraId="14C3EADF" w14:textId="77777777" w:rsidTr="006C02E1">
        <w:tc>
          <w:tcPr>
            <w:tcW w:w="4531" w:type="dxa"/>
          </w:tcPr>
          <w:p w14:paraId="6CBF910A" w14:textId="77777777" w:rsidR="007C125E" w:rsidRPr="007C125E" w:rsidRDefault="007224FB" w:rsidP="006C02E1">
            <w:pPr>
              <w:rPr>
                <w:sz w:val="24"/>
                <w:szCs w:val="24"/>
              </w:rPr>
            </w:pPr>
            <w:hyperlink r:id="rId10" w:history="1">
              <w:r w:rsidR="007C125E" w:rsidRPr="007C125E">
                <w:rPr>
                  <w:rStyle w:val="Hiperhivatkozs"/>
                  <w:sz w:val="24"/>
                  <w:szCs w:val="24"/>
                </w:rPr>
                <w:t>koszeghy.erzsebet@lokomotivhaz.hu</w:t>
              </w:r>
            </w:hyperlink>
          </w:p>
        </w:tc>
        <w:tc>
          <w:tcPr>
            <w:tcW w:w="4531" w:type="dxa"/>
          </w:tcPr>
          <w:p w14:paraId="0C2C263F" w14:textId="77777777" w:rsidR="007C125E" w:rsidRPr="007C125E" w:rsidRDefault="007224FB" w:rsidP="006C02E1">
            <w:pPr>
              <w:rPr>
                <w:sz w:val="24"/>
                <w:szCs w:val="24"/>
              </w:rPr>
            </w:pPr>
            <w:hyperlink r:id="rId11" w:history="1">
              <w:r w:rsidR="007C125E" w:rsidRPr="007C125E">
                <w:rPr>
                  <w:rStyle w:val="Hiperhivatkozs"/>
                  <w:sz w:val="24"/>
                  <w:szCs w:val="24"/>
                </w:rPr>
                <w:t>vago.istvan@lokomotivhaz.hu</w:t>
              </w:r>
            </w:hyperlink>
          </w:p>
        </w:tc>
      </w:tr>
    </w:tbl>
    <w:p w14:paraId="6721A964" w14:textId="0E7DDC60" w:rsidR="007C125E" w:rsidRDefault="007C125E">
      <w:pPr>
        <w:rPr>
          <w:sz w:val="24"/>
          <w:szCs w:val="24"/>
        </w:rPr>
      </w:pPr>
    </w:p>
    <w:p w14:paraId="0D7C16BC" w14:textId="77777777" w:rsidR="00C37DD5" w:rsidRDefault="00C37DD5">
      <w:pPr>
        <w:rPr>
          <w:sz w:val="24"/>
          <w:szCs w:val="24"/>
        </w:rPr>
      </w:pPr>
    </w:p>
    <w:p w14:paraId="1B4E652F" w14:textId="77777777" w:rsidR="00945EF5" w:rsidRDefault="00945EF5" w:rsidP="00945EF5">
      <w:pPr>
        <w:pStyle w:val="Cm"/>
      </w:pPr>
      <w:r>
        <w:lastRenderedPageBreak/>
        <w:t>Az épületről</w:t>
      </w:r>
    </w:p>
    <w:p w14:paraId="118F2BE8" w14:textId="505605FD" w:rsid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 Lokomotív Ház Budafoki út 187-189. szám alatti épületei eredetileg a Julius Meinl Rt. kávé</w:t>
      </w:r>
      <w:r w:rsidR="00436DFE">
        <w:rPr>
          <w:sz w:val="24"/>
          <w:szCs w:val="24"/>
        </w:rPr>
        <w:t>-</w:t>
      </w:r>
      <w:r w:rsidRPr="008E343F">
        <w:rPr>
          <w:sz w:val="24"/>
          <w:szCs w:val="24"/>
        </w:rPr>
        <w:t xml:space="preserve"> és édességkereskedés üzemei és raktárai számára épültek.</w:t>
      </w:r>
    </w:p>
    <w:p w14:paraId="470C1CDD" w14:textId="77777777" w:rsidR="00436DFE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Az államosítás után Budapesti Édesipari Gyár néven működött és fejlődött tovább. Csokigyárként 1990</w:t>
      </w:r>
      <w:r w:rsidR="00436DFE">
        <w:rPr>
          <w:sz w:val="24"/>
          <w:szCs w:val="24"/>
        </w:rPr>
        <w:t>.</w:t>
      </w:r>
      <w:r w:rsidRPr="008E343F">
        <w:rPr>
          <w:sz w:val="24"/>
          <w:szCs w:val="24"/>
        </w:rPr>
        <w:t xml:space="preserve"> után a Kraft-Jacobs vállalatcsoport neve alatt működött utoljára.</w:t>
      </w:r>
    </w:p>
    <w:p w14:paraId="75A6BC72" w14:textId="133DDB20" w:rsid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Azóta az épületeket vállalkozások használják raktár, műhely és iroda funkciókkal.</w:t>
      </w:r>
    </w:p>
    <w:p w14:paraId="500535C8" w14:textId="72ED1225" w:rsidR="00945EF5" w:rsidRDefault="00945EF5">
      <w:pPr>
        <w:rPr>
          <w:sz w:val="24"/>
          <w:szCs w:val="24"/>
        </w:rPr>
      </w:pPr>
    </w:p>
    <w:p w14:paraId="76CA2DBD" w14:textId="77777777" w:rsidR="00945EF5" w:rsidRDefault="00945EF5" w:rsidP="00945EF5">
      <w:pPr>
        <w:pStyle w:val="Cm"/>
      </w:pPr>
      <w:r>
        <w:t>Az ingatlanfejlesztés célja és koncepciója</w:t>
      </w:r>
    </w:p>
    <w:p w14:paraId="1659316F" w14:textId="4A0CED8C" w:rsidR="00945EF5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 tulajdonos szándéka továbbra is a területek bérbeadása. A magas minőségű szolgáltatás</w:t>
      </w:r>
      <w:r>
        <w:rPr>
          <w:sz w:val="24"/>
          <w:szCs w:val="24"/>
        </w:rPr>
        <w:t>,</w:t>
      </w:r>
      <w:r w:rsidRPr="008E343F">
        <w:rPr>
          <w:sz w:val="24"/>
          <w:szCs w:val="24"/>
        </w:rPr>
        <w:t xml:space="preserve"> illetve a vonzó munkakörnyezet érdekében az épületállomány és az udvar jelentős átalakuláson, fejlesztésen esett át 2016. és 2019. között.</w:t>
      </w:r>
    </w:p>
    <w:p w14:paraId="32569CDE" w14:textId="3FCCCF35" w:rsidR="00945EF5" w:rsidRDefault="00945EF5">
      <w:pPr>
        <w:rPr>
          <w:sz w:val="24"/>
          <w:szCs w:val="24"/>
        </w:rPr>
      </w:pPr>
    </w:p>
    <w:p w14:paraId="01C7ADD6" w14:textId="77777777" w:rsidR="00945EF5" w:rsidRDefault="00945EF5" w:rsidP="00945EF5">
      <w:pPr>
        <w:pStyle w:val="Cm"/>
      </w:pPr>
      <w:r>
        <w:t>Építészeti és városfejlesztési koncepció</w:t>
      </w:r>
    </w:p>
    <w:p w14:paraId="2303D44E" w14:textId="64F468DC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 tulajdonos Buildton Kft. az MCXVI Építészműterem Kft.-t bízta meg a Budafoki út 187-189. szám alatti Lokomotív Ház épületek építészeti felújításának tervezési feladataival</w:t>
      </w:r>
      <w:r>
        <w:rPr>
          <w:sz w:val="24"/>
          <w:szCs w:val="24"/>
        </w:rPr>
        <w:t>.</w:t>
      </w:r>
    </w:p>
    <w:p w14:paraId="16C336DC" w14:textId="77777777" w:rsid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Az elfogadott koncepció célja a minőségi munkakörnyezet szerinti iroda és raktár épület megjelenés átalakítása, magasabb esztétikai kategóriába emelése, a felújítással érintett hő és vízszigetelő rendszerek korszerűsítése volt.</w:t>
      </w:r>
    </w:p>
    <w:p w14:paraId="242D94D1" w14:textId="6464A82E" w:rsidR="00945EF5" w:rsidRDefault="00945EF5">
      <w:pPr>
        <w:rPr>
          <w:sz w:val="24"/>
          <w:szCs w:val="24"/>
        </w:rPr>
      </w:pPr>
    </w:p>
    <w:p w14:paraId="08CB830E" w14:textId="77777777" w:rsidR="00945EF5" w:rsidRDefault="00945EF5" w:rsidP="00945EF5">
      <w:pPr>
        <w:pStyle w:val="Cm"/>
        <w:jc w:val="both"/>
      </w:pPr>
      <w:r>
        <w:t>Rövid leírás a fejlesztésről (adatok, méretek, jellemzők)</w:t>
      </w:r>
    </w:p>
    <w:p w14:paraId="05958A0F" w14:textId="77777777" w:rsidR="00436DFE" w:rsidRDefault="00436DFE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436DFE">
        <w:rPr>
          <w:sz w:val="24"/>
          <w:szCs w:val="24"/>
        </w:rPr>
        <w:t>Az épületek új hőszigetelést és vakolatot, a nyílászárók új festést kaptak.</w:t>
      </w:r>
    </w:p>
    <w:p w14:paraId="5F5210BB" w14:textId="43CBFEDB" w:rsidR="00436DFE" w:rsidRPr="00436DFE" w:rsidRDefault="00436DFE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436DFE">
        <w:rPr>
          <w:sz w:val="24"/>
          <w:szCs w:val="24"/>
        </w:rPr>
        <w:t xml:space="preserve">Az utcafronti kerítések nagyrészt elbontásra kerültek, a gyalogosforgalom részére megnyílt az épületek melletti terület, új járdaburkolattal, növényzettel. </w:t>
      </w:r>
    </w:p>
    <w:p w14:paraId="6B27A4E3" w14:textId="77777777" w:rsidR="00436DFE" w:rsidRPr="00436DFE" w:rsidRDefault="00436DFE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436DFE">
        <w:rPr>
          <w:sz w:val="24"/>
          <w:szCs w:val="24"/>
        </w:rPr>
        <w:t xml:space="preserve">Az udvaron a parkolás, közlekedési rend újragondolása is megtörtént, és a </w:t>
      </w:r>
      <w:r w:rsidRPr="00436DFE">
        <w:rPr>
          <w:i/>
          <w:iCs/>
          <w:sz w:val="24"/>
          <w:szCs w:val="24"/>
        </w:rPr>
        <w:t>C épület</w:t>
      </w:r>
      <w:r w:rsidRPr="00436DFE">
        <w:rPr>
          <w:sz w:val="24"/>
          <w:szCs w:val="24"/>
        </w:rPr>
        <w:t xml:space="preserve"> ’zöld sziget’ tömbje köré épültek fel az új parkolók, ahol elektromos-autó töltő állomások is helyet kaptak. Az udvaron az útburkolat teljes egészében kicserélődött, aszfalt helyett térkő </w:t>
      </w:r>
      <w:r w:rsidRPr="00436DFE">
        <w:rPr>
          <w:sz w:val="24"/>
          <w:szCs w:val="24"/>
        </w:rPr>
        <w:lastRenderedPageBreak/>
        <w:t xml:space="preserve">burkolat fektetésével. A C </w:t>
      </w:r>
      <w:r w:rsidRPr="00436DFE">
        <w:rPr>
          <w:i/>
          <w:iCs/>
          <w:sz w:val="24"/>
          <w:szCs w:val="24"/>
        </w:rPr>
        <w:t>épület</w:t>
      </w:r>
      <w:r w:rsidRPr="00436DFE">
        <w:rPr>
          <w:sz w:val="24"/>
          <w:szCs w:val="24"/>
        </w:rPr>
        <w:t xml:space="preserve"> homlokzati falán futónövényzet került telepítésre, az épület tetején tetőkert lett kialakítva. </w:t>
      </w:r>
    </w:p>
    <w:p w14:paraId="198945E2" w14:textId="45A527D3" w:rsidR="00716E74" w:rsidRPr="00716E74" w:rsidRDefault="00436DFE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436DFE">
        <w:rPr>
          <w:sz w:val="24"/>
          <w:szCs w:val="24"/>
        </w:rPr>
        <w:t>Az</w:t>
      </w:r>
      <w:r w:rsidR="00CE034C">
        <w:rPr>
          <w:sz w:val="24"/>
          <w:szCs w:val="24"/>
        </w:rPr>
        <w:t xml:space="preserve"> épület tulajdonosa az</w:t>
      </w:r>
      <w:r w:rsidRPr="00436DFE">
        <w:rPr>
          <w:sz w:val="24"/>
          <w:szCs w:val="24"/>
        </w:rPr>
        <w:t xml:space="preserve"> </w:t>
      </w:r>
      <w:r w:rsidRPr="00436DFE">
        <w:rPr>
          <w:i/>
          <w:iCs/>
          <w:sz w:val="24"/>
          <w:szCs w:val="24"/>
        </w:rPr>
        <w:t>A épület</w:t>
      </w:r>
      <w:r w:rsidRPr="00436DFE">
        <w:rPr>
          <w:sz w:val="24"/>
          <w:szCs w:val="24"/>
        </w:rPr>
        <w:t xml:space="preserve"> sarkán </w:t>
      </w:r>
      <w:r w:rsidR="00CE034C">
        <w:rPr>
          <w:sz w:val="24"/>
          <w:szCs w:val="24"/>
        </w:rPr>
        <w:t xml:space="preserve">Resti Bisztró néven egy </w:t>
      </w:r>
      <w:r w:rsidRPr="00436DFE">
        <w:rPr>
          <w:sz w:val="24"/>
          <w:szCs w:val="24"/>
        </w:rPr>
        <w:t>új</w:t>
      </w:r>
      <w:r w:rsidR="00CE034C">
        <w:rPr>
          <w:sz w:val="24"/>
          <w:szCs w:val="24"/>
        </w:rPr>
        <w:t xml:space="preserve"> és</w:t>
      </w:r>
      <w:r w:rsidRPr="00436DFE">
        <w:rPr>
          <w:sz w:val="24"/>
          <w:szCs w:val="24"/>
        </w:rPr>
        <w:t xml:space="preserve"> korszerű étter</w:t>
      </w:r>
      <w:r w:rsidR="00CE034C">
        <w:rPr>
          <w:sz w:val="24"/>
          <w:szCs w:val="24"/>
        </w:rPr>
        <w:t>met</w:t>
      </w:r>
      <w:r w:rsidR="00CE034C" w:rsidRPr="00CE034C">
        <w:rPr>
          <w:sz w:val="24"/>
          <w:szCs w:val="24"/>
        </w:rPr>
        <w:t xml:space="preserve"> </w:t>
      </w:r>
      <w:r w:rsidR="00CE034C" w:rsidRPr="00436DFE">
        <w:rPr>
          <w:sz w:val="24"/>
          <w:szCs w:val="24"/>
        </w:rPr>
        <w:t>alakít</w:t>
      </w:r>
      <w:r w:rsidR="00CE034C">
        <w:rPr>
          <w:sz w:val="24"/>
          <w:szCs w:val="24"/>
        </w:rPr>
        <w:t xml:space="preserve">ott ki, </w:t>
      </w:r>
      <w:r w:rsidRPr="00436DFE">
        <w:rPr>
          <w:sz w:val="24"/>
          <w:szCs w:val="24"/>
        </w:rPr>
        <w:t>látványkonyhával</w:t>
      </w:r>
      <w:r w:rsidR="00CE034C">
        <w:rPr>
          <w:sz w:val="24"/>
          <w:szCs w:val="24"/>
        </w:rPr>
        <w:t>, valamint</w:t>
      </w:r>
      <w:r w:rsidR="00CE034C" w:rsidRPr="00436DFE">
        <w:rPr>
          <w:sz w:val="24"/>
          <w:szCs w:val="24"/>
        </w:rPr>
        <w:t xml:space="preserve"> kávézó</w:t>
      </w:r>
      <w:r w:rsidR="00CE034C">
        <w:rPr>
          <w:sz w:val="24"/>
          <w:szCs w:val="24"/>
        </w:rPr>
        <w:t>val</w:t>
      </w:r>
      <w:r w:rsidR="00CE034C" w:rsidRPr="00436DFE">
        <w:rPr>
          <w:sz w:val="24"/>
          <w:szCs w:val="24"/>
        </w:rPr>
        <w:t xml:space="preserve"> </w:t>
      </w:r>
      <w:r w:rsidR="00CE034C">
        <w:rPr>
          <w:sz w:val="24"/>
          <w:szCs w:val="24"/>
        </w:rPr>
        <w:t xml:space="preserve">és egy </w:t>
      </w:r>
      <w:proofErr w:type="spellStart"/>
      <w:r w:rsidR="00CE034C">
        <w:rPr>
          <w:sz w:val="24"/>
          <w:szCs w:val="24"/>
        </w:rPr>
        <w:t>téliesíthető</w:t>
      </w:r>
      <w:proofErr w:type="spellEnd"/>
      <w:r w:rsidR="00CE034C">
        <w:rPr>
          <w:sz w:val="24"/>
          <w:szCs w:val="24"/>
        </w:rPr>
        <w:t xml:space="preserve"> terasszal.</w:t>
      </w:r>
    </w:p>
    <w:p w14:paraId="0124AD6F" w14:textId="4AD6A335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t>Tetők</w:t>
      </w:r>
    </w:p>
    <w:p w14:paraId="5BB43A1D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 xml:space="preserve">A tetők mindenhol új hő- és vízszigetelést kaptak. </w:t>
      </w:r>
      <w:r w:rsidRPr="008E343F">
        <w:rPr>
          <w:rFonts w:cstheme="minorHAnsi"/>
          <w:bCs/>
          <w:color w:val="000000"/>
          <w:sz w:val="24"/>
          <w:szCs w:val="24"/>
        </w:rPr>
        <w:t xml:space="preserve">20 cm </w:t>
      </w:r>
      <w:proofErr w:type="spellStart"/>
      <w:r w:rsidRPr="008E343F">
        <w:rPr>
          <w:rFonts w:cstheme="minorHAnsi"/>
          <w:bCs/>
          <w:color w:val="000000"/>
          <w:sz w:val="24"/>
          <w:szCs w:val="24"/>
        </w:rPr>
        <w:t>vtg</w:t>
      </w:r>
      <w:proofErr w:type="spellEnd"/>
      <w:r w:rsidRPr="008E343F">
        <w:rPr>
          <w:rFonts w:cstheme="minorHAnsi"/>
          <w:bCs/>
          <w:color w:val="000000"/>
          <w:sz w:val="24"/>
          <w:szCs w:val="24"/>
        </w:rPr>
        <w:t xml:space="preserve">. </w:t>
      </w:r>
      <w:r w:rsidRPr="008E343F">
        <w:rPr>
          <w:rFonts w:cstheme="minorHAnsi"/>
          <w:color w:val="000000"/>
          <w:sz w:val="24"/>
          <w:szCs w:val="24"/>
        </w:rPr>
        <w:t>AUSTROTHERM EPS AT N200 hőszigetelés, SIKA S-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Glass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Fleece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120 üvegfátyol elválasztó filc, majd SIKAPLAN 18 G poliészter erősítésű, többrétegű PVC tetőszigetelő lemez került kialakításra. A függőleges és vízszintes ereszcsatornákat mindenhol az ablakok festésével megegyező antracit színű, szögletes keresztmetszetű ereszcsatornákra cseréltük. </w:t>
      </w:r>
    </w:p>
    <w:p w14:paraId="624CFB93" w14:textId="0AFA24E3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t>A és D épület homlokzatok</w:t>
      </w:r>
    </w:p>
    <w:p w14:paraId="3E5C1CE8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 xml:space="preserve">A homlokzatok a meglévő vakolt falak új homlokzati hőszigetelő rendszert kaptak, jellemzően 12 cm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vtg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.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Austrotherm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Grafit Reflex EPS 80 táblákkal. Az ablakoknál homlokzati tűzterjedési gátakat, azaz az összes homlokzati nyílás teteje fölött tűzálló sávok kerültek kialakításra, 20 cm széles, 12 cm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vtg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.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Rockwool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Frontrock MAX E – vakolható kőzetgyapot hőszigetelésből, melyek a falnyílás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tetejétől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max</w:t>
      </w:r>
      <w:proofErr w:type="spellEnd"/>
      <w:r w:rsidRPr="008E343F">
        <w:rPr>
          <w:rFonts w:cstheme="minorHAnsi"/>
          <w:color w:val="000000"/>
          <w:sz w:val="24"/>
          <w:szCs w:val="24"/>
        </w:rPr>
        <w:t>. 50 cm-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rel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indulnak, és a nyílás két oldalán 30-30 cm-t vízszintesen túllógnak. </w:t>
      </w:r>
    </w:p>
    <w:p w14:paraId="7324EF3A" w14:textId="3965D1B6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t>Budafoki úti kocsibehajtó</w:t>
      </w:r>
    </w:p>
    <w:p w14:paraId="6AFA706A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 xml:space="preserve">A kocsibehajtó is jelentős átalakításon, esztétikai felújításon esett át, mely során a síkok egységesítése megtörtént, és mészkő burkolást kapott. Az új kőburkolat alsó két sora 10 cm vastag és falazott-épített módon készül. A szemöldök fölötti sorok 3 cm vastagok és konzolos kapcsokkal rögzítve. A mennyezet burkolata 4 cm vastag és szintén kapcsozott. A kőlapok anyaga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süttői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mészkő, homokfújt felülettel, alap méretük 60*110 cm, eltolt hálóba rakva, rejtett rögzítéssel.</w:t>
      </w:r>
    </w:p>
    <w:p w14:paraId="24B78586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 xml:space="preserve">A behajtó padlóját - a kőburkolat-kapu belépő vonalától a kilépő vonaláig - egy kb. 10 cm-re magasított közös síkba hozott vörös színű hullám-térkővel burkoltuk. A járdafelület RAL 7016 színű MMCITÉ- ELIAS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pollerek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jelölik.</w:t>
      </w:r>
    </w:p>
    <w:p w14:paraId="16328F5D" w14:textId="122B0445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t>Galvani utcai kerítés</w:t>
      </w:r>
    </w:p>
    <w:p w14:paraId="2CB28E8B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 xml:space="preserve">Az elbontott kerítés helyén épült új kerítés az M és D épület találkozási pontjától indul. A 2 m magas mosottkavics felületű panelekből álló kerítés az 1,25 m magas rámpát is kettéosztja. A homlokzattól a telekhatárig lelépcsőzik, majd 90 fokos fordulóval a telekhatáron halad, az M épület homlokzatával párhuzamosan. Az új Galvani kapu előtti panel a biztonságos kihajtás-átlátás miatt már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Betafence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Nylofor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3D. Az új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Hörmann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úszókapu is áttört, rácsos, majd ezt követően a Galvani telekhatárra, a behajtótól nyugatra kiállított gőzmozdony miatt szintén átlátszó hosszú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Betafence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Nylofor</w:t>
      </w:r>
      <w:proofErr w:type="spellEnd"/>
      <w:r w:rsidRPr="008E343F">
        <w:rPr>
          <w:rFonts w:cstheme="minorHAnsi"/>
          <w:color w:val="000000"/>
          <w:sz w:val="24"/>
          <w:szCs w:val="24"/>
        </w:rPr>
        <w:t xml:space="preserve"> 3D szakasszal zártunk a szomszéd telek kerítéséhez.</w:t>
      </w:r>
    </w:p>
    <w:p w14:paraId="64933E06" w14:textId="174F73AE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lastRenderedPageBreak/>
        <w:t>D épület – Galvani utcai kapcsolat</w:t>
      </w:r>
    </w:p>
    <w:p w14:paraId="7FBF4963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 rámpa alatt helyenként hiányzó lábazati falakat pótoltuk, egy – a rámpa külső élével síkban futó - tömör, lábazati fal lett a végeredmény. Az 1,25 m magas rámpához egy rézsűt építettünk, amelynek felső min. 50 cm-es része vízmegtartó termőtalajjal fedett. A rámpára feljutni a rézsű síkjába süllyesztett lépcsőkön lehet. A rámpáról új hőhídmentes alu portálok nyílnak a földszinti helyiségekbe, melyek üzlethelyiségeknek adnak helyet. A rámpa felületét üveggyöngyszórással csúszásmentesített, RAL 7032 színű fagyálló kültéri műgyantával burkoltuk.</w:t>
      </w:r>
    </w:p>
    <w:p w14:paraId="4A297AB1" w14:textId="5E159EEB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t>Épületgépészeti rendszerek</w:t>
      </w:r>
    </w:p>
    <w:p w14:paraId="3454C147" w14:textId="03FCF16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Az épületek fűtését biztosító Vasfa gázkazánok korszerű kondenzációs gázkazánra lettek kicserélve, mellyel jelentősen nőtt az épületegyüttes energia hatékonysága.</w:t>
      </w:r>
    </w:p>
    <w:p w14:paraId="24E41F44" w14:textId="7E7E8CDC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t>B épület</w:t>
      </w:r>
    </w:p>
    <w:p w14:paraId="5E902AA0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 B épület új tetőszigetelést, belső felújítást, új klíma rendszert, alumínium árnyékolót kapott.</w:t>
      </w:r>
    </w:p>
    <w:p w14:paraId="583A58D3" w14:textId="57EEDEEA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t>Liftek, teherfelvonók</w:t>
      </w:r>
    </w:p>
    <w:p w14:paraId="516E8060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1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 Lokomotív Házban meglévő teherliftek korszerűsítésen, esztétikai átalakításon estek át. Új vezérlést, szükség szerint kötélzetet és további új mechanikai alkatrészeket is kaptak a modernizáció során, belső terüket pedig esztétikus megjelenésűvé varázsoltuk.</w:t>
      </w:r>
    </w:p>
    <w:p w14:paraId="1044490D" w14:textId="01EA8EC1" w:rsidR="008E343F" w:rsidRPr="008E343F" w:rsidRDefault="008E343F" w:rsidP="00C37DD5">
      <w:pPr>
        <w:autoSpaceDE w:val="0"/>
        <w:autoSpaceDN w:val="0"/>
        <w:adjustRightInd w:val="0"/>
        <w:spacing w:after="0" w:line="252" w:lineRule="auto"/>
        <w:ind w:right="142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8E343F">
        <w:rPr>
          <w:rFonts w:cstheme="minorHAnsi"/>
          <w:b/>
          <w:bCs/>
          <w:color w:val="000000"/>
          <w:sz w:val="24"/>
          <w:szCs w:val="24"/>
        </w:rPr>
        <w:t>Udvar</w:t>
      </w:r>
    </w:p>
    <w:p w14:paraId="26B331CB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 Galvani út felé új kihajtó létesült. Tehermentesítve ezzel a Budafoki úton eddig egyetlen meglévő közúti kapcsolatot</w:t>
      </w:r>
    </w:p>
    <w:p w14:paraId="438A09D2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 xml:space="preserve">a telek alatti területen korszerűsítésre kerültek a közműhálózatok (ivóvíz, </w:t>
      </w:r>
      <w:proofErr w:type="spellStart"/>
      <w:r w:rsidRPr="008E343F">
        <w:rPr>
          <w:rFonts w:cstheme="minorHAnsi"/>
          <w:color w:val="000000"/>
          <w:sz w:val="24"/>
          <w:szCs w:val="24"/>
        </w:rPr>
        <w:t>tüzivíz</w:t>
      </w:r>
      <w:proofErr w:type="spellEnd"/>
      <w:r w:rsidRPr="008E343F">
        <w:rPr>
          <w:rFonts w:cstheme="minorHAnsi"/>
          <w:color w:val="000000"/>
          <w:sz w:val="24"/>
          <w:szCs w:val="24"/>
        </w:rPr>
        <w:t>, csatorna)</w:t>
      </w:r>
    </w:p>
    <w:p w14:paraId="21A7854C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az elektromos hálózat átalakítása, alépítménybe történő áttelepítése is megvalósult, eltűntek a telken belül a föld feletti elektromos vezetékek.</w:t>
      </w:r>
    </w:p>
    <w:p w14:paraId="32B17D71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kialakításra került a szelektív hulladéktároló, melyben a komplex hulladék kezelés, válogatás is történik.</w:t>
      </w:r>
    </w:p>
    <w:p w14:paraId="5E2620CE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 kertépítéssel párhuzamosan elkészült a zöld felületekhez tartozó öntöző hálózat kialakítása</w:t>
      </w:r>
    </w:p>
    <w:p w14:paraId="77C566FC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kialakításra kerültek elektromos-autó töltőhelyek</w:t>
      </w:r>
    </w:p>
    <w:p w14:paraId="6B0CBDD1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az irodaépületek közösségi területein felújításra kerültek a vizesblokkok</w:t>
      </w:r>
    </w:p>
    <w:p w14:paraId="62DAE6E5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 D épület földszintjén a Galvani utca felé üzlethelyiségek kerültek kialakításra, közvetlen portálajtó nyílik az utcafrontra.</w:t>
      </w:r>
    </w:p>
    <w:p w14:paraId="02D8D5A8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az udvaron kamerarendszer épült</w:t>
      </w:r>
    </w:p>
    <w:p w14:paraId="5389482D" w14:textId="77777777" w:rsidR="008E343F" w:rsidRPr="008E343F" w:rsidRDefault="008E343F" w:rsidP="007446B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Lines="160" w:after="384" w:line="240" w:lineRule="auto"/>
        <w:ind w:left="357" w:right="142" w:hanging="357"/>
        <w:jc w:val="both"/>
        <w:rPr>
          <w:rFonts w:cstheme="minorHAnsi"/>
          <w:color w:val="000000"/>
          <w:sz w:val="24"/>
          <w:szCs w:val="24"/>
        </w:rPr>
      </w:pPr>
      <w:r w:rsidRPr="008E343F">
        <w:rPr>
          <w:rFonts w:cstheme="minorHAnsi"/>
          <w:color w:val="000000"/>
          <w:sz w:val="24"/>
          <w:szCs w:val="24"/>
        </w:rPr>
        <w:t>sorompóval ellátott parkolórendszer, illetve fedett kerékpártároló is kialakításra került</w:t>
      </w:r>
    </w:p>
    <w:p w14:paraId="049670A5" w14:textId="1A6C298F" w:rsidR="00945EF5" w:rsidRDefault="00945EF5">
      <w:pPr>
        <w:rPr>
          <w:sz w:val="24"/>
          <w:szCs w:val="24"/>
        </w:rPr>
      </w:pPr>
    </w:p>
    <w:p w14:paraId="0492E1DC" w14:textId="77777777" w:rsidR="00945EF5" w:rsidRDefault="00945EF5" w:rsidP="00945EF5">
      <w:pPr>
        <w:pStyle w:val="Cm"/>
        <w:jc w:val="both"/>
      </w:pPr>
      <w:r>
        <w:lastRenderedPageBreak/>
        <w:t>Innovatív műszaki és környezettudatos megoldások</w:t>
      </w:r>
    </w:p>
    <w:p w14:paraId="096F68C8" w14:textId="19C5A7BB" w:rsidR="008E343F" w:rsidRPr="008E343F" w:rsidRDefault="008E343F" w:rsidP="007446B0">
      <w:pPr>
        <w:autoSpaceDE w:val="0"/>
        <w:autoSpaceDN w:val="0"/>
        <w:adjustRightInd w:val="0"/>
        <w:spacing w:afterLines="160" w:after="384" w:line="252" w:lineRule="auto"/>
        <w:ind w:right="142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Az épületegyüttesek között, a telek központjában egy ’zöld sziget’ került kialakításra, mely barátságos munkakörnyezetet biztosít ebben az ipari jellegű környezetben, és nem utolsó sorban méltón jelképezi a tulajdonos elkötelezettségét a zöld környezet, a környezetvédelem iránt.</w:t>
      </w:r>
    </w:p>
    <w:p w14:paraId="11EF60FC" w14:textId="77777777" w:rsidR="00945EF5" w:rsidRDefault="00945EF5" w:rsidP="00945EF5"/>
    <w:p w14:paraId="46F8F185" w14:textId="77777777" w:rsidR="00945EF5" w:rsidRDefault="00945EF5" w:rsidP="00945EF5">
      <w:pPr>
        <w:pStyle w:val="Cm"/>
        <w:jc w:val="both"/>
      </w:pPr>
      <w:r>
        <w:t>A kivitelezés kezdete és befejezése</w:t>
      </w:r>
    </w:p>
    <w:p w14:paraId="2472A3B3" w14:textId="21BA81E1" w:rsidR="00945EF5" w:rsidRPr="00436DFE" w:rsidRDefault="008E343F" w:rsidP="007446B0">
      <w:pPr>
        <w:autoSpaceDE w:val="0"/>
        <w:autoSpaceDN w:val="0"/>
        <w:adjustRightInd w:val="0"/>
        <w:spacing w:afterLines="160" w:after="384" w:line="240" w:lineRule="auto"/>
        <w:ind w:right="142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 Lokomotív Ház megújulása a 2016. őszi tervezéssel kezdődött</w:t>
      </w:r>
      <w:r w:rsidR="00436DFE">
        <w:rPr>
          <w:sz w:val="24"/>
          <w:szCs w:val="24"/>
        </w:rPr>
        <w:t xml:space="preserve"> </w:t>
      </w:r>
      <w:r w:rsidRPr="008E343F">
        <w:rPr>
          <w:sz w:val="24"/>
          <w:szCs w:val="24"/>
        </w:rPr>
        <w:t xml:space="preserve">és 2019. május 9-én egy kisebb </w:t>
      </w:r>
      <w:r w:rsidR="00436DFE">
        <w:rPr>
          <w:sz w:val="24"/>
          <w:szCs w:val="24"/>
        </w:rPr>
        <w:t>újjászületési</w:t>
      </w:r>
      <w:r w:rsidRPr="008E343F">
        <w:rPr>
          <w:sz w:val="24"/>
          <w:szCs w:val="24"/>
        </w:rPr>
        <w:t xml:space="preserve"> </w:t>
      </w:r>
      <w:r w:rsidR="00716E74">
        <w:rPr>
          <w:sz w:val="24"/>
          <w:szCs w:val="24"/>
        </w:rPr>
        <w:t xml:space="preserve">átadó </w:t>
      </w:r>
      <w:r w:rsidRPr="008E343F">
        <w:rPr>
          <w:sz w:val="24"/>
          <w:szCs w:val="24"/>
        </w:rPr>
        <w:t>ünnepséggel zárult.</w:t>
      </w:r>
    </w:p>
    <w:p w14:paraId="5CFECAEA" w14:textId="77777777" w:rsidR="00945EF5" w:rsidRDefault="00945EF5" w:rsidP="00945EF5"/>
    <w:p w14:paraId="35BB5863" w14:textId="77777777" w:rsidR="00945EF5" w:rsidRDefault="00945EF5" w:rsidP="00945EF5">
      <w:pPr>
        <w:pStyle w:val="Cm"/>
        <w:jc w:val="both"/>
      </w:pPr>
      <w:r>
        <w:t>A fejlesztés finanszírozása és értékesítése, bérbeadása</w:t>
      </w:r>
    </w:p>
    <w:p w14:paraId="4DD188BC" w14:textId="77777777" w:rsidR="008E343F" w:rsidRPr="008E343F" w:rsidRDefault="008E343F" w:rsidP="007446B0">
      <w:pPr>
        <w:autoSpaceDE w:val="0"/>
        <w:autoSpaceDN w:val="0"/>
        <w:adjustRightInd w:val="0"/>
        <w:spacing w:afterLines="160" w:after="384" w:line="240" w:lineRule="auto"/>
        <w:ind w:right="142"/>
        <w:jc w:val="both"/>
        <w:rPr>
          <w:sz w:val="24"/>
          <w:szCs w:val="24"/>
        </w:rPr>
      </w:pPr>
      <w:r w:rsidRPr="008E343F">
        <w:rPr>
          <w:sz w:val="24"/>
          <w:szCs w:val="24"/>
        </w:rPr>
        <w:t>A felújítás költsége hozzávetőlegesen 2,49 Mrd Ft + Áfa.</w:t>
      </w:r>
    </w:p>
    <w:p w14:paraId="35A28324" w14:textId="77777777" w:rsidR="00945EF5" w:rsidRDefault="00945EF5" w:rsidP="00945EF5"/>
    <w:p w14:paraId="368DC98E" w14:textId="77777777" w:rsidR="00945EF5" w:rsidRDefault="00945EF5" w:rsidP="00945EF5">
      <w:pPr>
        <w:pStyle w:val="Cm"/>
        <w:jc w:val="both"/>
      </w:pPr>
      <w:r>
        <w:t>Hogyan szolgálja az ingatlanfejlesztés a szűkebb és tágabb környezetét, az életminőség javítását és a közösségi érdekeket</w:t>
      </w:r>
    </w:p>
    <w:p w14:paraId="33772844" w14:textId="2EB669D3" w:rsidR="00955D62" w:rsidRPr="00CE034C" w:rsidRDefault="00955D62" w:rsidP="00955D62">
      <w:pPr>
        <w:jc w:val="both"/>
        <w:rPr>
          <w:bCs/>
          <w:sz w:val="24"/>
          <w:szCs w:val="24"/>
        </w:rPr>
      </w:pPr>
      <w:r w:rsidRPr="00CE034C">
        <w:rPr>
          <w:bCs/>
          <w:sz w:val="24"/>
          <w:szCs w:val="24"/>
        </w:rPr>
        <w:t xml:space="preserve">2016-ban új utakon robogott be az irodaházak világába a </w:t>
      </w:r>
      <w:r w:rsidR="00CE034C">
        <w:rPr>
          <w:bCs/>
          <w:sz w:val="24"/>
          <w:szCs w:val="24"/>
        </w:rPr>
        <w:t>Lokomotív Ház</w:t>
      </w:r>
      <w:r w:rsidRPr="00CE034C">
        <w:rPr>
          <w:bCs/>
          <w:sz w:val="24"/>
          <w:szCs w:val="24"/>
        </w:rPr>
        <w:t>, mely az épületek mellett felejtett iparvágányokról kapta nevét. Ez adta az ötletet a forgalomból kivont 376-450-es pályaszámú gőzmozdony és személykocsi elhelyezésére az udvarra látványosságként, mely egyben a ház szimbóluma is.</w:t>
      </w:r>
    </w:p>
    <w:p w14:paraId="7D508DBE" w14:textId="77777777" w:rsidR="00955D62" w:rsidRPr="00CE034C" w:rsidRDefault="00955D62" w:rsidP="00955D62">
      <w:pPr>
        <w:jc w:val="both"/>
        <w:rPr>
          <w:bCs/>
          <w:sz w:val="24"/>
          <w:szCs w:val="24"/>
        </w:rPr>
      </w:pPr>
      <w:r w:rsidRPr="00CE034C">
        <w:rPr>
          <w:bCs/>
          <w:sz w:val="24"/>
          <w:szCs w:val="24"/>
        </w:rPr>
        <w:t>A mai irodaházat II. Julius Meinl 1939-ben építette, létrehozva ezzel az egyik legkorszerűbb gyártelepet, mely 1942-ig a Meinl lepárlóüzemeként működött. 1941-ben az államosítás ezt a céget is utolérte, a nemzetiszocialisták kezére került. Azóta az épület számos tulajdonosnak és változatos tevékenységnek adott otthont.</w:t>
      </w:r>
    </w:p>
    <w:p w14:paraId="165AB873" w14:textId="77777777" w:rsidR="00955D62" w:rsidRPr="00CE034C" w:rsidRDefault="00955D62" w:rsidP="00955D62">
      <w:pPr>
        <w:jc w:val="both"/>
        <w:rPr>
          <w:bCs/>
          <w:sz w:val="24"/>
          <w:szCs w:val="24"/>
        </w:rPr>
      </w:pPr>
      <w:r w:rsidRPr="00CE034C">
        <w:rPr>
          <w:bCs/>
          <w:sz w:val="24"/>
          <w:szCs w:val="24"/>
        </w:rPr>
        <w:lastRenderedPageBreak/>
        <w:t xml:space="preserve">A háború után, 1946 végén a Meinl-érdekeltség szovjet tulajdonba került, szovjet igazgató irányításával, aki kávépörkölő üzemként működtette. 1952-ben átadták a magyar államnak, ettől kezdve nevezték Csemege Édesipari Gyárnak, aminek a finom </w:t>
      </w:r>
      <w:proofErr w:type="gramStart"/>
      <w:r w:rsidRPr="00CE034C">
        <w:rPr>
          <w:bCs/>
          <w:sz w:val="24"/>
          <w:szCs w:val="24"/>
        </w:rPr>
        <w:t>csokikat</w:t>
      </w:r>
      <w:proofErr w:type="gramEnd"/>
      <w:r w:rsidRPr="00CE034C">
        <w:rPr>
          <w:bCs/>
          <w:sz w:val="24"/>
          <w:szCs w:val="24"/>
        </w:rPr>
        <w:t xml:space="preserve"> köszönhettük. A rendszerváltozás után 1991-ben a nagyvállalatok közül az elsők közt privatizálta a Kraft Jacobs Suchard Kft. a gyárat. Miután ők kivonultak az országból, a gyártelep irodakomplexumként működött tovább, Elba Ház néven.</w:t>
      </w:r>
    </w:p>
    <w:p w14:paraId="3162C229" w14:textId="77777777" w:rsidR="00955D62" w:rsidRPr="00CE034C" w:rsidRDefault="00955D62" w:rsidP="00955D62">
      <w:pPr>
        <w:jc w:val="both"/>
        <w:rPr>
          <w:bCs/>
          <w:sz w:val="24"/>
          <w:szCs w:val="24"/>
        </w:rPr>
      </w:pPr>
      <w:r w:rsidRPr="00CE034C">
        <w:rPr>
          <w:bCs/>
          <w:sz w:val="24"/>
          <w:szCs w:val="24"/>
        </w:rPr>
        <w:t xml:space="preserve">2016-ban az ingatlannak új masinisztája lett, amivel nagy változások kezdődtek az épület életében. Az új tulajdonosa által teljes felújításon esett át: homlokzat szigetelés, nyílászáró-, közmű- és teljes gépészet csere, az irodákba energiatakarékos klímák kerültek, sőt a B épület kapott egy kényelmi funkciót ellátó automata árnyékoló rendszert is. Az irodaparkban összesen 6 db személy- és teherlift található, melyek szintén felújításon és korszerűsítésen estek át. </w:t>
      </w:r>
    </w:p>
    <w:p w14:paraId="34BF6315" w14:textId="4DC65229" w:rsidR="00955D62" w:rsidRPr="00CE034C" w:rsidRDefault="00955D62" w:rsidP="00955D62">
      <w:pPr>
        <w:jc w:val="both"/>
        <w:rPr>
          <w:bCs/>
          <w:sz w:val="24"/>
          <w:szCs w:val="24"/>
        </w:rPr>
      </w:pPr>
      <w:r w:rsidRPr="00CE034C">
        <w:rPr>
          <w:bCs/>
          <w:sz w:val="24"/>
          <w:szCs w:val="24"/>
        </w:rPr>
        <w:t>Kellemes perceket tölthetünk el a parkosított udvaron sétálva, ahol még elektromos autónkat is feltölthetjük a kiépített elektromos gyorstöltőkön. Emellett saját teraszos étterem és kávézó is működik az irodakomplexumban</w:t>
      </w:r>
      <w:r w:rsidR="00375DB0" w:rsidRPr="00CE034C">
        <w:rPr>
          <w:bCs/>
          <w:sz w:val="24"/>
          <w:szCs w:val="24"/>
        </w:rPr>
        <w:t>, Resti Bisztró néven. De,</w:t>
      </w:r>
      <w:r w:rsidRPr="00CE034C">
        <w:rPr>
          <w:bCs/>
          <w:sz w:val="24"/>
          <w:szCs w:val="24"/>
        </w:rPr>
        <w:t xml:space="preserve"> </w:t>
      </w:r>
      <w:r w:rsidR="00375DB0" w:rsidRPr="00CE034C">
        <w:rPr>
          <w:bCs/>
          <w:sz w:val="24"/>
          <w:szCs w:val="24"/>
        </w:rPr>
        <w:t>akinek ez nem elég, a</w:t>
      </w:r>
      <w:r w:rsidRPr="00CE034C">
        <w:rPr>
          <w:bCs/>
          <w:sz w:val="24"/>
          <w:szCs w:val="24"/>
        </w:rPr>
        <w:t xml:space="preserve"> közelben, 5 perc sétára található a minden igényt kielégítő Új Buda Center.</w:t>
      </w:r>
    </w:p>
    <w:p w14:paraId="2D48DB58" w14:textId="3919225F" w:rsidR="00955D62" w:rsidRPr="00CE034C" w:rsidRDefault="00955D62" w:rsidP="00955D62">
      <w:pPr>
        <w:jc w:val="both"/>
        <w:rPr>
          <w:bCs/>
          <w:sz w:val="24"/>
          <w:szCs w:val="24"/>
        </w:rPr>
      </w:pPr>
      <w:r w:rsidRPr="00CE034C">
        <w:rPr>
          <w:bCs/>
          <w:sz w:val="24"/>
          <w:szCs w:val="24"/>
        </w:rPr>
        <w:t xml:space="preserve">A </w:t>
      </w:r>
      <w:r w:rsidR="00CE034C" w:rsidRPr="00CE034C">
        <w:rPr>
          <w:bCs/>
          <w:sz w:val="24"/>
          <w:szCs w:val="24"/>
        </w:rPr>
        <w:t>Lokomotív Ház</w:t>
      </w:r>
      <w:r w:rsidRPr="00CE034C">
        <w:rPr>
          <w:bCs/>
          <w:sz w:val="24"/>
          <w:szCs w:val="24"/>
        </w:rPr>
        <w:t xml:space="preserve"> B kategóriás irodákat kínál bérletre 8.890 m</w:t>
      </w:r>
      <w:r w:rsidRPr="00CE034C">
        <w:rPr>
          <w:rFonts w:cstheme="minorHAnsi"/>
          <w:bCs/>
          <w:sz w:val="24"/>
          <w:szCs w:val="24"/>
          <w:vertAlign w:val="superscript"/>
        </w:rPr>
        <w:t>2</w:t>
      </w:r>
      <w:r w:rsidRPr="00CE034C">
        <w:rPr>
          <w:bCs/>
          <w:sz w:val="24"/>
          <w:szCs w:val="24"/>
        </w:rPr>
        <w:t>-en, de raktárak (10.700 m</w:t>
      </w:r>
      <w:r w:rsidRPr="00CE034C">
        <w:rPr>
          <w:rFonts w:cstheme="minorHAnsi"/>
          <w:bCs/>
          <w:sz w:val="24"/>
          <w:szCs w:val="24"/>
          <w:vertAlign w:val="superscript"/>
        </w:rPr>
        <w:t>2</w:t>
      </w:r>
      <w:r w:rsidRPr="00CE034C">
        <w:rPr>
          <w:bCs/>
          <w:sz w:val="24"/>
          <w:szCs w:val="24"/>
        </w:rPr>
        <w:t xml:space="preserve">-en), </w:t>
      </w:r>
      <w:r w:rsidR="00375DB0" w:rsidRPr="00CE034C">
        <w:rPr>
          <w:bCs/>
          <w:sz w:val="24"/>
          <w:szCs w:val="24"/>
        </w:rPr>
        <w:t>2.2</w:t>
      </w:r>
      <w:r w:rsidRPr="00CE034C">
        <w:rPr>
          <w:bCs/>
          <w:sz w:val="24"/>
          <w:szCs w:val="24"/>
        </w:rPr>
        <w:t>00 EUR raklapos magasraktár (560 m</w:t>
      </w:r>
      <w:r w:rsidRPr="00CE034C">
        <w:rPr>
          <w:rFonts w:cstheme="minorHAnsi"/>
          <w:bCs/>
          <w:sz w:val="24"/>
          <w:szCs w:val="24"/>
          <w:vertAlign w:val="superscript"/>
        </w:rPr>
        <w:t>2</w:t>
      </w:r>
      <w:r w:rsidRPr="00CE034C">
        <w:rPr>
          <w:bCs/>
          <w:sz w:val="24"/>
          <w:szCs w:val="24"/>
        </w:rPr>
        <w:t>-en), bemutatótermek és utcafronti üzlethelyiségek (530 m</w:t>
      </w:r>
      <w:r w:rsidRPr="00CE034C">
        <w:rPr>
          <w:rFonts w:cstheme="minorHAnsi"/>
          <w:bCs/>
          <w:sz w:val="24"/>
          <w:szCs w:val="24"/>
          <w:vertAlign w:val="superscript"/>
        </w:rPr>
        <w:t>2</w:t>
      </w:r>
      <w:r w:rsidRPr="00CE034C">
        <w:rPr>
          <w:bCs/>
          <w:sz w:val="24"/>
          <w:szCs w:val="24"/>
        </w:rPr>
        <w:t>-en) is bérelhetőek az irodaházban. Az udvaron 300 db parkolóhely áll a bérlők rendelkezésére. Egyedi szolgáltatásként targonca bérlési lehetőséget is biztosítunk.</w:t>
      </w:r>
    </w:p>
    <w:p w14:paraId="5F139A14" w14:textId="63721DBA" w:rsidR="00955D62" w:rsidRPr="00CE034C" w:rsidRDefault="00955D62" w:rsidP="00955D62">
      <w:pPr>
        <w:jc w:val="both"/>
        <w:rPr>
          <w:bCs/>
          <w:sz w:val="24"/>
          <w:szCs w:val="24"/>
        </w:rPr>
      </w:pPr>
      <w:r w:rsidRPr="00CE034C">
        <w:rPr>
          <w:bCs/>
          <w:sz w:val="24"/>
          <w:szCs w:val="24"/>
        </w:rPr>
        <w:t xml:space="preserve">A </w:t>
      </w:r>
      <w:r w:rsidR="00375DB0" w:rsidRPr="00CE034C">
        <w:rPr>
          <w:bCs/>
          <w:sz w:val="24"/>
          <w:szCs w:val="24"/>
        </w:rPr>
        <w:t xml:space="preserve">Lokomotív házban közös </w:t>
      </w:r>
      <w:r w:rsidRPr="00CE034C">
        <w:rPr>
          <w:bCs/>
          <w:sz w:val="24"/>
          <w:szCs w:val="24"/>
        </w:rPr>
        <w:t>tárgyalóterem bérlésére is lehetőség van</w:t>
      </w:r>
      <w:r w:rsidR="00375DB0" w:rsidRPr="00CE034C">
        <w:rPr>
          <w:bCs/>
          <w:sz w:val="24"/>
          <w:szCs w:val="24"/>
        </w:rPr>
        <w:t xml:space="preserve">. A központi C épület </w:t>
      </w:r>
      <w:r w:rsidRPr="00CE034C">
        <w:rPr>
          <w:bCs/>
          <w:sz w:val="24"/>
          <w:szCs w:val="24"/>
        </w:rPr>
        <w:t>tetején található tágas tetőterasz</w:t>
      </w:r>
      <w:r w:rsidR="00375DB0" w:rsidRPr="00CE034C">
        <w:rPr>
          <w:bCs/>
          <w:sz w:val="24"/>
          <w:szCs w:val="24"/>
        </w:rPr>
        <w:t>t</w:t>
      </w:r>
      <w:r w:rsidRPr="00CE034C">
        <w:rPr>
          <w:bCs/>
          <w:sz w:val="24"/>
          <w:szCs w:val="24"/>
        </w:rPr>
        <w:t xml:space="preserve"> (melyhez egy konyha is tartozik) </w:t>
      </w:r>
      <w:r w:rsidR="00375DB0" w:rsidRPr="00CE034C">
        <w:rPr>
          <w:bCs/>
          <w:sz w:val="24"/>
          <w:szCs w:val="24"/>
        </w:rPr>
        <w:t xml:space="preserve">szintén bérlőink vehetik igénybe, </w:t>
      </w:r>
      <w:r w:rsidRPr="00CE034C">
        <w:rPr>
          <w:bCs/>
          <w:sz w:val="24"/>
          <w:szCs w:val="24"/>
        </w:rPr>
        <w:t>ha rendezvénnyel szeretnénk meglepni a kollégákat, partnereket.</w:t>
      </w:r>
    </w:p>
    <w:p w14:paraId="5D558576" w14:textId="34EDF7D4" w:rsidR="007C125E" w:rsidRDefault="007C125E">
      <w:pPr>
        <w:rPr>
          <w:sz w:val="24"/>
          <w:szCs w:val="24"/>
        </w:rPr>
      </w:pPr>
    </w:p>
    <w:p w14:paraId="42E95FFF" w14:textId="77777777" w:rsidR="00EB7C06" w:rsidRDefault="00EB7C06" w:rsidP="00EB7C06">
      <w:pPr>
        <w:pStyle w:val="Cm"/>
      </w:pPr>
      <w:r>
        <w:t>Főbb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3402"/>
        <w:gridCol w:w="1129"/>
      </w:tblGrid>
      <w:tr w:rsidR="00EB7C06" w14:paraId="3E138A1C" w14:textId="77777777" w:rsidTr="006C02E1">
        <w:tc>
          <w:tcPr>
            <w:tcW w:w="4531" w:type="dxa"/>
          </w:tcPr>
          <w:p w14:paraId="0E148697" w14:textId="77777777" w:rsidR="00EB7C06" w:rsidRPr="00106C28" w:rsidRDefault="00EB7C06" w:rsidP="006C02E1">
            <w:pPr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Telek területe</w:t>
            </w:r>
          </w:p>
        </w:tc>
        <w:tc>
          <w:tcPr>
            <w:tcW w:w="3402" w:type="dxa"/>
            <w:tcBorders>
              <w:right w:val="nil"/>
            </w:tcBorders>
          </w:tcPr>
          <w:p w14:paraId="447C173C" w14:textId="77777777" w:rsidR="00EB7C06" w:rsidRPr="00106C28" w:rsidRDefault="00EB7C06" w:rsidP="006C02E1">
            <w:pPr>
              <w:jc w:val="center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24.697</w:t>
            </w:r>
          </w:p>
        </w:tc>
        <w:tc>
          <w:tcPr>
            <w:tcW w:w="1129" w:type="dxa"/>
            <w:tcBorders>
              <w:left w:val="nil"/>
            </w:tcBorders>
          </w:tcPr>
          <w:p w14:paraId="67944477" w14:textId="77777777" w:rsidR="00EB7C06" w:rsidRPr="00106C28" w:rsidRDefault="00EB7C06" w:rsidP="006C02E1">
            <w:pPr>
              <w:jc w:val="both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m</w:t>
            </w:r>
            <w:r w:rsidRPr="00106C28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B7C06" w14:paraId="339ABDA4" w14:textId="77777777" w:rsidTr="006C02E1">
        <w:tc>
          <w:tcPr>
            <w:tcW w:w="4531" w:type="dxa"/>
            <w:shd w:val="clear" w:color="auto" w:fill="D0CECE" w:themeFill="background2" w:themeFillShade="E6"/>
          </w:tcPr>
          <w:p w14:paraId="0EA617D6" w14:textId="77777777" w:rsidR="00EB7C06" w:rsidRPr="00106C28" w:rsidRDefault="00EB7C06" w:rsidP="006C02E1">
            <w:pPr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Beépített terület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D0CECE" w:themeFill="background2" w:themeFillShade="E6"/>
          </w:tcPr>
          <w:p w14:paraId="14ED210C" w14:textId="77777777" w:rsidR="00EB7C06" w:rsidRPr="00106C28" w:rsidRDefault="00EB7C06" w:rsidP="006C02E1">
            <w:pPr>
              <w:jc w:val="center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7.028</w:t>
            </w:r>
          </w:p>
        </w:tc>
        <w:tc>
          <w:tcPr>
            <w:tcW w:w="1129" w:type="dxa"/>
            <w:tcBorders>
              <w:left w:val="nil"/>
            </w:tcBorders>
            <w:shd w:val="clear" w:color="auto" w:fill="D0CECE" w:themeFill="background2" w:themeFillShade="E6"/>
          </w:tcPr>
          <w:p w14:paraId="68197497" w14:textId="77777777" w:rsidR="00EB7C06" w:rsidRPr="00106C28" w:rsidRDefault="00EB7C06" w:rsidP="006C02E1">
            <w:pPr>
              <w:jc w:val="both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m</w:t>
            </w:r>
            <w:r w:rsidRPr="00106C28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B7C06" w14:paraId="0824EF6B" w14:textId="77777777" w:rsidTr="006C02E1">
        <w:tc>
          <w:tcPr>
            <w:tcW w:w="4531" w:type="dxa"/>
            <w:shd w:val="clear" w:color="auto" w:fill="A8D08D" w:themeFill="accent6" w:themeFillTint="99"/>
          </w:tcPr>
          <w:p w14:paraId="526A0EEC" w14:textId="77777777" w:rsidR="00EB7C06" w:rsidRPr="00106C28" w:rsidRDefault="00EB7C06" w:rsidP="006C02E1">
            <w:pPr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Zöld terület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8D08D" w:themeFill="accent6" w:themeFillTint="99"/>
          </w:tcPr>
          <w:p w14:paraId="49CB657A" w14:textId="77777777" w:rsidR="00EB7C06" w:rsidRPr="00106C28" w:rsidRDefault="00EB7C06" w:rsidP="006C02E1">
            <w:pPr>
              <w:jc w:val="center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5.612</w:t>
            </w:r>
          </w:p>
        </w:tc>
        <w:tc>
          <w:tcPr>
            <w:tcW w:w="1129" w:type="dxa"/>
            <w:tcBorders>
              <w:left w:val="nil"/>
            </w:tcBorders>
            <w:shd w:val="clear" w:color="auto" w:fill="A8D08D" w:themeFill="accent6" w:themeFillTint="99"/>
          </w:tcPr>
          <w:p w14:paraId="1B00C8D2" w14:textId="77777777" w:rsidR="00EB7C06" w:rsidRPr="00106C28" w:rsidRDefault="00EB7C06" w:rsidP="006C02E1">
            <w:pPr>
              <w:jc w:val="both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m</w:t>
            </w:r>
            <w:r w:rsidRPr="00106C28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B7C06" w14:paraId="5FEF7CDF" w14:textId="77777777" w:rsidTr="006C02E1">
        <w:tc>
          <w:tcPr>
            <w:tcW w:w="4531" w:type="dxa"/>
          </w:tcPr>
          <w:p w14:paraId="0C018828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Bruttó szintterületi mutatóba beszámítandó alapterület</w:t>
            </w:r>
          </w:p>
        </w:tc>
        <w:tc>
          <w:tcPr>
            <w:tcW w:w="3402" w:type="dxa"/>
            <w:tcBorders>
              <w:right w:val="nil"/>
            </w:tcBorders>
          </w:tcPr>
          <w:p w14:paraId="31D1276C" w14:textId="77777777" w:rsidR="00EB7C06" w:rsidRPr="00F45F8A" w:rsidRDefault="00EB7C06" w:rsidP="006C02E1">
            <w:pPr>
              <w:jc w:val="center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20.034</w:t>
            </w:r>
          </w:p>
        </w:tc>
        <w:tc>
          <w:tcPr>
            <w:tcW w:w="1129" w:type="dxa"/>
            <w:tcBorders>
              <w:left w:val="nil"/>
            </w:tcBorders>
          </w:tcPr>
          <w:p w14:paraId="3FE21940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m</w:t>
            </w:r>
            <w:r w:rsidRPr="00F45F8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</w:tr>
      <w:tr w:rsidR="00EB7C06" w14:paraId="18EC9997" w14:textId="77777777" w:rsidTr="006C02E1">
        <w:tc>
          <w:tcPr>
            <w:tcW w:w="4531" w:type="dxa"/>
          </w:tcPr>
          <w:p w14:paraId="019661F0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Értékesíthető, bérelhető nettó terület</w:t>
            </w:r>
          </w:p>
        </w:tc>
        <w:tc>
          <w:tcPr>
            <w:tcW w:w="3402" w:type="dxa"/>
            <w:tcBorders>
              <w:right w:val="nil"/>
            </w:tcBorders>
          </w:tcPr>
          <w:p w14:paraId="0137EF63" w14:textId="77777777" w:rsidR="00EB7C06" w:rsidRPr="00F45F8A" w:rsidRDefault="00EB7C06" w:rsidP="006C02E1">
            <w:pPr>
              <w:jc w:val="center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17.719</w:t>
            </w:r>
          </w:p>
        </w:tc>
        <w:tc>
          <w:tcPr>
            <w:tcW w:w="1129" w:type="dxa"/>
            <w:tcBorders>
              <w:left w:val="nil"/>
            </w:tcBorders>
          </w:tcPr>
          <w:p w14:paraId="59E7491C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m</w:t>
            </w:r>
            <w:r w:rsidRPr="00F45F8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</w:tr>
      <w:tr w:rsidR="00EB7C06" w14:paraId="55C134C0" w14:textId="77777777" w:rsidTr="006C02E1">
        <w:tc>
          <w:tcPr>
            <w:tcW w:w="4531" w:type="dxa"/>
          </w:tcPr>
          <w:p w14:paraId="47CCFBFD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Építési költség, melyből</w:t>
            </w:r>
          </w:p>
        </w:tc>
        <w:tc>
          <w:tcPr>
            <w:tcW w:w="3402" w:type="dxa"/>
            <w:tcBorders>
              <w:right w:val="nil"/>
            </w:tcBorders>
          </w:tcPr>
          <w:p w14:paraId="1DEBF35A" w14:textId="68712476" w:rsidR="00EB7C06" w:rsidRPr="00F45F8A" w:rsidRDefault="004D5193" w:rsidP="006C0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2 490</w:t>
            </w:r>
          </w:p>
        </w:tc>
        <w:tc>
          <w:tcPr>
            <w:tcW w:w="1129" w:type="dxa"/>
            <w:tcBorders>
              <w:left w:val="nil"/>
            </w:tcBorders>
          </w:tcPr>
          <w:p w14:paraId="7FE38062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millió Ft</w:t>
            </w:r>
          </w:p>
        </w:tc>
      </w:tr>
      <w:tr w:rsidR="00EB7C06" w14:paraId="46CC0E6F" w14:textId="77777777" w:rsidTr="006C02E1">
        <w:tc>
          <w:tcPr>
            <w:tcW w:w="4531" w:type="dxa"/>
          </w:tcPr>
          <w:p w14:paraId="70117B0B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saját erő</w:t>
            </w:r>
          </w:p>
        </w:tc>
        <w:tc>
          <w:tcPr>
            <w:tcW w:w="3402" w:type="dxa"/>
            <w:tcBorders>
              <w:right w:val="nil"/>
            </w:tcBorders>
          </w:tcPr>
          <w:p w14:paraId="69AA5845" w14:textId="4DFD1AE1" w:rsidR="00EB7C06" w:rsidRPr="00F45F8A" w:rsidRDefault="004D5193" w:rsidP="006C0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9" w:type="dxa"/>
            <w:tcBorders>
              <w:left w:val="nil"/>
            </w:tcBorders>
          </w:tcPr>
          <w:p w14:paraId="470931E6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tr w:rsidR="00EB7C06" w14:paraId="00809090" w14:textId="77777777" w:rsidTr="006C02E1">
        <w:tc>
          <w:tcPr>
            <w:tcW w:w="4531" w:type="dxa"/>
          </w:tcPr>
          <w:p w14:paraId="1D5295E9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hitel</w:t>
            </w:r>
          </w:p>
        </w:tc>
        <w:tc>
          <w:tcPr>
            <w:tcW w:w="3402" w:type="dxa"/>
            <w:tcBorders>
              <w:right w:val="nil"/>
            </w:tcBorders>
          </w:tcPr>
          <w:p w14:paraId="044DE078" w14:textId="01FD1052" w:rsidR="00EB7C06" w:rsidRPr="00F45F8A" w:rsidRDefault="004D5193" w:rsidP="006C0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left w:val="nil"/>
            </w:tcBorders>
          </w:tcPr>
          <w:p w14:paraId="3AA90062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tr w:rsidR="00EB7C06" w14:paraId="3698B338" w14:textId="77777777" w:rsidTr="006C02E1">
        <w:tc>
          <w:tcPr>
            <w:tcW w:w="4531" w:type="dxa"/>
          </w:tcPr>
          <w:p w14:paraId="5F36996F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értékesítésből</w:t>
            </w:r>
          </w:p>
        </w:tc>
        <w:tc>
          <w:tcPr>
            <w:tcW w:w="3402" w:type="dxa"/>
            <w:tcBorders>
              <w:right w:val="nil"/>
            </w:tcBorders>
          </w:tcPr>
          <w:p w14:paraId="4CA92F36" w14:textId="6467C073" w:rsidR="00EB7C06" w:rsidRPr="00F45F8A" w:rsidRDefault="004D5193" w:rsidP="006C0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left w:val="nil"/>
            </w:tcBorders>
          </w:tcPr>
          <w:p w14:paraId="1185018A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tr w:rsidR="00EB7C06" w14:paraId="79B8CFF7" w14:textId="77777777" w:rsidTr="006C02E1">
        <w:tc>
          <w:tcPr>
            <w:tcW w:w="4531" w:type="dxa"/>
          </w:tcPr>
          <w:p w14:paraId="1B204C01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Eladás, bérbeadás állása</w:t>
            </w:r>
          </w:p>
        </w:tc>
        <w:tc>
          <w:tcPr>
            <w:tcW w:w="3402" w:type="dxa"/>
            <w:tcBorders>
              <w:right w:val="nil"/>
            </w:tcBorders>
          </w:tcPr>
          <w:p w14:paraId="411081FA" w14:textId="77777777" w:rsidR="00EB7C06" w:rsidRPr="00F45F8A" w:rsidRDefault="00EB7C06" w:rsidP="006C02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14:paraId="315735D4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</w:p>
        </w:tc>
      </w:tr>
      <w:tr w:rsidR="00EB7C06" w14:paraId="328EA70C" w14:textId="77777777" w:rsidTr="006C02E1">
        <w:tc>
          <w:tcPr>
            <w:tcW w:w="4531" w:type="dxa"/>
          </w:tcPr>
          <w:p w14:paraId="420F41A6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kivitelezés befejezésekor</w:t>
            </w:r>
          </w:p>
        </w:tc>
        <w:tc>
          <w:tcPr>
            <w:tcW w:w="3402" w:type="dxa"/>
            <w:tcBorders>
              <w:right w:val="nil"/>
            </w:tcBorders>
          </w:tcPr>
          <w:p w14:paraId="5E564E27" w14:textId="1E9346F7" w:rsidR="00EB7C06" w:rsidRPr="00F45F8A" w:rsidRDefault="004D5193" w:rsidP="006C0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29" w:type="dxa"/>
            <w:tcBorders>
              <w:left w:val="nil"/>
            </w:tcBorders>
          </w:tcPr>
          <w:p w14:paraId="300107A2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tr w:rsidR="00EB7C06" w14:paraId="198E8854" w14:textId="77777777" w:rsidTr="006C02E1">
        <w:tc>
          <w:tcPr>
            <w:tcW w:w="4531" w:type="dxa"/>
          </w:tcPr>
          <w:p w14:paraId="25AB3EFE" w14:textId="77777777" w:rsidR="00EB7C06" w:rsidRPr="00F45F8A" w:rsidRDefault="00EB7C06" w:rsidP="006C02E1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1 évvel később</w:t>
            </w:r>
          </w:p>
        </w:tc>
        <w:tc>
          <w:tcPr>
            <w:tcW w:w="3402" w:type="dxa"/>
            <w:tcBorders>
              <w:right w:val="nil"/>
            </w:tcBorders>
          </w:tcPr>
          <w:p w14:paraId="359C62A0" w14:textId="582D3F6B" w:rsidR="00EB7C06" w:rsidRPr="00F45F8A" w:rsidRDefault="004D5193" w:rsidP="006C0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29" w:type="dxa"/>
            <w:tcBorders>
              <w:left w:val="nil"/>
            </w:tcBorders>
          </w:tcPr>
          <w:p w14:paraId="4B80717C" w14:textId="77777777" w:rsidR="00EB7C06" w:rsidRPr="00F45F8A" w:rsidRDefault="00EB7C06" w:rsidP="006C02E1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</w:tbl>
    <w:p w14:paraId="28495270" w14:textId="72F776EA" w:rsidR="007C125E" w:rsidRDefault="007C125E">
      <w:pPr>
        <w:rPr>
          <w:sz w:val="24"/>
          <w:szCs w:val="24"/>
        </w:rPr>
      </w:pPr>
    </w:p>
    <w:p w14:paraId="51F5C219" w14:textId="1B8300E8" w:rsidR="0093523D" w:rsidRDefault="0093523D">
      <w:pPr>
        <w:rPr>
          <w:sz w:val="24"/>
          <w:szCs w:val="24"/>
        </w:rPr>
      </w:pPr>
    </w:p>
    <w:p w14:paraId="0BC68DB7" w14:textId="5DCEE629" w:rsidR="007C5AB0" w:rsidRDefault="007C5AB0" w:rsidP="007C5AB0">
      <w:pPr>
        <w:pStyle w:val="Cm"/>
      </w:pPr>
      <w:r>
        <w:lastRenderedPageBreak/>
        <w:t>Rövid ismertető</w:t>
      </w:r>
    </w:p>
    <w:p w14:paraId="65608CE2" w14:textId="17E3B82A" w:rsidR="007C5AB0" w:rsidRDefault="007C5AB0" w:rsidP="007C5AB0">
      <w:pPr>
        <w:jc w:val="both"/>
        <w:rPr>
          <w:sz w:val="24"/>
          <w:szCs w:val="24"/>
        </w:rPr>
      </w:pPr>
      <w:r>
        <w:rPr>
          <w:sz w:val="24"/>
          <w:szCs w:val="24"/>
        </w:rPr>
        <w:t>2016-ban új utakon robogott be az irodaházak világába a Lokomotív Ház, mely az épületek mellett felejtett iparvágányokról kapta nevét. Ez adta az ötletet a forgalomból kivont 376-450-es pályaszámú gőzmozdony és személykocsi elhelyezésére látványosságként és a ház szimbólumaként az udvarra.</w:t>
      </w:r>
    </w:p>
    <w:p w14:paraId="161CE679" w14:textId="501DB7FB" w:rsidR="007C5AB0" w:rsidRDefault="007C5AB0" w:rsidP="007C5A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Budafoki út </w:t>
      </w:r>
      <w:r w:rsidR="007928F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928F1">
        <w:rPr>
          <w:sz w:val="24"/>
          <w:szCs w:val="24"/>
        </w:rPr>
        <w:t xml:space="preserve">Galvani utca sarkán lévő épület 1939-1942 közötti építése óta több megállót is érintett. Első tulajdonosa kávépörkölő üzemként, későbbi nevén Csemege Édesipari vállalatként üzemeltette, aminek a finom </w:t>
      </w:r>
      <w:proofErr w:type="gramStart"/>
      <w:r w:rsidR="007928F1">
        <w:rPr>
          <w:sz w:val="24"/>
          <w:szCs w:val="24"/>
        </w:rPr>
        <w:t>csokikat</w:t>
      </w:r>
      <w:proofErr w:type="gramEnd"/>
      <w:r w:rsidR="007928F1">
        <w:rPr>
          <w:sz w:val="24"/>
          <w:szCs w:val="24"/>
        </w:rPr>
        <w:t xml:space="preserve"> köszönhettük. Miután ők kivonultak az országból, irodakomplexumként működött tovább, Elba Ház néven.</w:t>
      </w:r>
    </w:p>
    <w:p w14:paraId="1F2800C9" w14:textId="5526825F" w:rsidR="007928F1" w:rsidRDefault="007928F1" w:rsidP="007C5AB0">
      <w:pPr>
        <w:jc w:val="both"/>
        <w:rPr>
          <w:sz w:val="24"/>
          <w:szCs w:val="24"/>
        </w:rPr>
      </w:pPr>
      <w:r>
        <w:rPr>
          <w:sz w:val="24"/>
          <w:szCs w:val="24"/>
        </w:rPr>
        <w:t>2016-ban az ingatlannak új masinisztája lett, amivel nagy változások kezdődtek az épület életében. Az új tulajdonosa által teljes felújításon esett át: homlokzat szigetelés, nyílászáró-, közmű- és teljes gépészet csere, lift modernizálás, parkosítás és új térkőburkolat, vizesblokkok felújítása, sőt az irodákba energiatakarékos klímák kerültek és a B épület kapott egy kényelmi funkciót ellátó automata árnyékolórendszert is.</w:t>
      </w:r>
    </w:p>
    <w:p w14:paraId="2D1D1862" w14:textId="503D2DF5" w:rsidR="007928F1" w:rsidRDefault="007928F1" w:rsidP="007C5AB0">
      <w:pPr>
        <w:jc w:val="both"/>
        <w:rPr>
          <w:sz w:val="24"/>
          <w:szCs w:val="24"/>
        </w:rPr>
      </w:pPr>
    </w:p>
    <w:p w14:paraId="5618FF59" w14:textId="77777777" w:rsidR="007928F1" w:rsidRPr="007C125E" w:rsidRDefault="007928F1" w:rsidP="007C5AB0">
      <w:pPr>
        <w:jc w:val="both"/>
        <w:rPr>
          <w:sz w:val="24"/>
          <w:szCs w:val="24"/>
        </w:rPr>
      </w:pPr>
    </w:p>
    <w:sectPr w:rsidR="007928F1" w:rsidRPr="007C125E" w:rsidSect="007224FB">
      <w:footerReference w:type="default" r:id="rId12"/>
      <w:pgSz w:w="11906" w:h="16838"/>
      <w:pgMar w:top="1417" w:right="1417" w:bottom="1417" w:left="1417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A228D" w14:textId="77777777" w:rsidR="00CE034C" w:rsidRDefault="00CE034C" w:rsidP="00CE034C">
      <w:pPr>
        <w:spacing w:after="0" w:line="240" w:lineRule="auto"/>
      </w:pPr>
      <w:r>
        <w:separator/>
      </w:r>
    </w:p>
  </w:endnote>
  <w:endnote w:type="continuationSeparator" w:id="0">
    <w:p w14:paraId="57F2D8CD" w14:textId="77777777" w:rsidR="00CE034C" w:rsidRDefault="00CE034C" w:rsidP="00CE0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7858565"/>
      <w:docPartObj>
        <w:docPartGallery w:val="Page Numbers (Bottom of Page)"/>
        <w:docPartUnique/>
      </w:docPartObj>
    </w:sdtPr>
    <w:sdtEndPr/>
    <w:sdtContent>
      <w:p w14:paraId="151BCD79" w14:textId="65A63CBB" w:rsidR="00CE034C" w:rsidRDefault="00AD168C">
        <w:pPr>
          <w:pStyle w:val="llb"/>
          <w:jc w:val="center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F67D80D" wp14:editId="7954460C">
              <wp:simplePos x="0" y="0"/>
              <wp:positionH relativeFrom="column">
                <wp:posOffset>5188585</wp:posOffset>
              </wp:positionH>
              <wp:positionV relativeFrom="paragraph">
                <wp:posOffset>-117475</wp:posOffset>
              </wp:positionV>
              <wp:extent cx="1263015" cy="539750"/>
              <wp:effectExtent l="0" t="0" r="0" b="0"/>
              <wp:wrapNone/>
              <wp:docPr id="4" name="Ké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63015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E034C">
          <w:fldChar w:fldCharType="begin"/>
        </w:r>
        <w:r w:rsidR="00CE034C">
          <w:instrText>PAGE   \* MERGEFORMAT</w:instrText>
        </w:r>
        <w:r w:rsidR="00CE034C">
          <w:fldChar w:fldCharType="separate"/>
        </w:r>
        <w:r w:rsidR="00CE034C">
          <w:t>2</w:t>
        </w:r>
        <w:r w:rsidR="00CE034C">
          <w:fldChar w:fldCharType="end"/>
        </w:r>
      </w:p>
    </w:sdtContent>
  </w:sdt>
  <w:p w14:paraId="1CF85681" w14:textId="53BF1C1C" w:rsidR="00CE034C" w:rsidRDefault="00CE034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E7C24" w14:textId="77777777" w:rsidR="00CE034C" w:rsidRDefault="00CE034C" w:rsidP="00CE034C">
      <w:pPr>
        <w:spacing w:after="0" w:line="240" w:lineRule="auto"/>
      </w:pPr>
      <w:r>
        <w:separator/>
      </w:r>
    </w:p>
  </w:footnote>
  <w:footnote w:type="continuationSeparator" w:id="0">
    <w:p w14:paraId="6C8C3AF6" w14:textId="77777777" w:rsidR="00CE034C" w:rsidRDefault="00CE034C" w:rsidP="00CE0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65797"/>
    <w:multiLevelType w:val="hybridMultilevel"/>
    <w:tmpl w:val="B674EE32"/>
    <w:lvl w:ilvl="0" w:tplc="BA888E0A">
      <w:numFmt w:val="bullet"/>
      <w:lvlText w:val="-"/>
      <w:lvlJc w:val="left"/>
      <w:pPr>
        <w:ind w:left="502" w:hanging="360"/>
      </w:pPr>
      <w:rPr>
        <w:rFonts w:ascii="Calibri Light" w:eastAsiaTheme="minorHAnsi" w:hAnsi="Calibri Light" w:cs="Arial Narrow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78879DE"/>
    <w:multiLevelType w:val="hybridMultilevel"/>
    <w:tmpl w:val="1E261FE4"/>
    <w:lvl w:ilvl="0" w:tplc="F03E14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4A8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520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A262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4A9D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D628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6899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D468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325D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89"/>
    <w:rsid w:val="00375DB0"/>
    <w:rsid w:val="00436DFE"/>
    <w:rsid w:val="004D5193"/>
    <w:rsid w:val="005D13C3"/>
    <w:rsid w:val="006921D5"/>
    <w:rsid w:val="006C4E89"/>
    <w:rsid w:val="006E3636"/>
    <w:rsid w:val="00716E74"/>
    <w:rsid w:val="007224FB"/>
    <w:rsid w:val="007446B0"/>
    <w:rsid w:val="007928F1"/>
    <w:rsid w:val="007C125E"/>
    <w:rsid w:val="007C5AB0"/>
    <w:rsid w:val="008E343F"/>
    <w:rsid w:val="008F6954"/>
    <w:rsid w:val="0093523D"/>
    <w:rsid w:val="00941E97"/>
    <w:rsid w:val="00945EF5"/>
    <w:rsid w:val="00955D62"/>
    <w:rsid w:val="00990C6B"/>
    <w:rsid w:val="00AD168C"/>
    <w:rsid w:val="00B02CCA"/>
    <w:rsid w:val="00C37DD5"/>
    <w:rsid w:val="00CE034C"/>
    <w:rsid w:val="00EB7C06"/>
    <w:rsid w:val="00F1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B208E3"/>
  <w15:chartTrackingRefBased/>
  <w15:docId w15:val="{7A4DEA1B-DEB2-4830-8DFF-10C5A7B2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C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F695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F6954"/>
    <w:rPr>
      <w:color w:val="605E5C"/>
      <w:shd w:val="clear" w:color="auto" w:fill="E1DFDD"/>
    </w:rPr>
  </w:style>
  <w:style w:type="paragraph" w:styleId="Cm">
    <w:name w:val="Title"/>
    <w:basedOn w:val="Norml"/>
    <w:next w:val="Norml"/>
    <w:link w:val="CmChar"/>
    <w:uiPriority w:val="10"/>
    <w:qFormat/>
    <w:rsid w:val="007C12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C1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C125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C125E"/>
    <w:rPr>
      <w:rFonts w:eastAsiaTheme="minorEastAsia"/>
      <w:color w:val="5A5A5A" w:themeColor="text1" w:themeTint="A5"/>
      <w:spacing w:val="15"/>
    </w:rPr>
  </w:style>
  <w:style w:type="character" w:styleId="Kiemels2">
    <w:name w:val="Strong"/>
    <w:basedOn w:val="Bekezdsalapbettpusa"/>
    <w:uiPriority w:val="22"/>
    <w:qFormat/>
    <w:rsid w:val="007C125E"/>
    <w:rPr>
      <w:b/>
      <w:bCs/>
    </w:rPr>
  </w:style>
  <w:style w:type="paragraph" w:styleId="Listaszerbekezds">
    <w:name w:val="List Paragraph"/>
    <w:basedOn w:val="Norml"/>
    <w:uiPriority w:val="34"/>
    <w:qFormat/>
    <w:rsid w:val="008E343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E0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034C"/>
  </w:style>
  <w:style w:type="paragraph" w:styleId="llb">
    <w:name w:val="footer"/>
    <w:basedOn w:val="Norml"/>
    <w:link w:val="llbChar"/>
    <w:uiPriority w:val="99"/>
    <w:unhideWhenUsed/>
    <w:rsid w:val="00CE0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4288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060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376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665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303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276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232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zeghy.erzsebet@lokomotivhaz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ago.istvan@lokomotivhaz.h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oszeghy.erzsebet@lokomotivhaz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go.istvan@lokomotivhaz.h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1530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 Balogh</dc:creator>
  <cp:keywords/>
  <dc:description/>
  <cp:lastModifiedBy>Adrienn Balogh</cp:lastModifiedBy>
  <cp:revision>4</cp:revision>
  <dcterms:created xsi:type="dcterms:W3CDTF">2020-09-24T11:37:00Z</dcterms:created>
  <dcterms:modified xsi:type="dcterms:W3CDTF">2020-09-25T07:48:00Z</dcterms:modified>
</cp:coreProperties>
</file>